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D65" w:rsidRPr="00D90D65" w:rsidRDefault="00D90D65" w:rsidP="00D90D65">
      <w:pPr>
        <w:spacing w:after="0" w:line="240" w:lineRule="auto"/>
        <w:ind w:right="1758"/>
        <w:jc w:val="both"/>
        <w:rPr>
          <w:rFonts w:ascii="Tahoma" w:hAnsi="Tahoma" w:cs="Tahoma"/>
          <w:b/>
          <w:sz w:val="20"/>
          <w:szCs w:val="20"/>
        </w:rPr>
      </w:pPr>
    </w:p>
    <w:p w:rsidR="00D90D65" w:rsidRPr="00D90D65" w:rsidRDefault="00D90D65" w:rsidP="00921774">
      <w:pPr>
        <w:pStyle w:val="Textoindependiente"/>
        <w:widowControl w:val="0"/>
        <w:tabs>
          <w:tab w:val="left" w:pos="2410"/>
          <w:tab w:val="left" w:pos="3119"/>
          <w:tab w:val="left" w:pos="3544"/>
          <w:tab w:val="left" w:pos="5954"/>
          <w:tab w:val="left" w:pos="6946"/>
        </w:tabs>
        <w:suppressAutoHyphens/>
        <w:spacing w:after="0" w:line="240" w:lineRule="auto"/>
        <w:ind w:left="3119" w:right="2267" w:hanging="992"/>
        <w:jc w:val="both"/>
        <w:rPr>
          <w:rFonts w:ascii="Tahoma" w:hAnsi="Tahoma" w:cs="Tahoma"/>
          <w:i/>
          <w:sz w:val="20"/>
          <w:szCs w:val="20"/>
          <w:lang w:val="es-PE"/>
        </w:rPr>
      </w:pPr>
      <w:r w:rsidRPr="00D90D65">
        <w:rPr>
          <w:rFonts w:ascii="Tahoma" w:hAnsi="Tahoma" w:cs="Tahoma"/>
          <w:b/>
          <w:i/>
          <w:sz w:val="20"/>
          <w:szCs w:val="20"/>
        </w:rPr>
        <w:t xml:space="preserve">Sumilla: </w:t>
      </w:r>
      <w:r w:rsidR="00921774">
        <w:rPr>
          <w:rFonts w:ascii="Tahoma" w:hAnsi="Tahoma" w:cs="Tahoma"/>
          <w:b/>
          <w:i/>
          <w:sz w:val="20"/>
          <w:szCs w:val="20"/>
        </w:rPr>
        <w:t xml:space="preserve"> </w:t>
      </w:r>
      <w:r w:rsidRPr="00D90D65">
        <w:rPr>
          <w:rFonts w:ascii="Tahoma" w:hAnsi="Tahoma" w:cs="Tahoma"/>
          <w:i/>
          <w:sz w:val="20"/>
          <w:szCs w:val="20"/>
          <w:lang w:val="es-MX"/>
        </w:rPr>
        <w:t xml:space="preserve">Para </w:t>
      </w:r>
      <w:r w:rsidRPr="00D90D65">
        <w:rPr>
          <w:rFonts w:ascii="Tahoma" w:hAnsi="Tahoma" w:cs="Tahoma"/>
          <w:i/>
          <w:sz w:val="20"/>
          <w:szCs w:val="20"/>
        </w:rPr>
        <w:t>la configuración del supuesto de hecho de la norma  se requiere acreditar la falsedad o inexactitud del documento cuestionado; es decir, que éste no haya sido expedido por el órgano emisor correspondiente, o que siendo válidamente expedido haya sido adulterado en su contenido,  produciendo un falseamiento de la realidad.</w:t>
      </w:r>
    </w:p>
    <w:p w:rsidR="00D90D65" w:rsidRPr="00D90D65" w:rsidRDefault="00D90D65" w:rsidP="00D90D65">
      <w:pPr>
        <w:pStyle w:val="Textoindependiente3"/>
        <w:spacing w:after="0"/>
        <w:ind w:left="4248" w:right="179" w:firstLine="708"/>
        <w:jc w:val="both"/>
        <w:rPr>
          <w:rFonts w:ascii="Tahoma" w:hAnsi="Tahoma" w:cs="Tahoma"/>
          <w:b/>
          <w:sz w:val="20"/>
          <w:szCs w:val="20"/>
        </w:rPr>
      </w:pPr>
    </w:p>
    <w:p w:rsidR="00D90D65" w:rsidRPr="00D90D65" w:rsidRDefault="00D90D65" w:rsidP="00D90D65">
      <w:pPr>
        <w:pStyle w:val="Textoindependiente3"/>
        <w:spacing w:after="0"/>
        <w:ind w:left="4248" w:right="179" w:firstLine="708"/>
        <w:jc w:val="both"/>
        <w:rPr>
          <w:rFonts w:ascii="Tahoma" w:hAnsi="Tahoma" w:cs="Tahoma"/>
          <w:sz w:val="20"/>
          <w:szCs w:val="20"/>
        </w:rPr>
      </w:pPr>
      <w:r w:rsidRPr="00D90D65">
        <w:rPr>
          <w:rFonts w:ascii="Tahoma" w:hAnsi="Tahoma" w:cs="Tahoma"/>
          <w:b/>
          <w:sz w:val="20"/>
          <w:szCs w:val="20"/>
        </w:rPr>
        <w:t>Lima</w:t>
      </w:r>
      <w:r w:rsidRPr="00D90D65">
        <w:rPr>
          <w:rFonts w:ascii="Tahoma" w:hAnsi="Tahoma" w:cs="Tahoma"/>
          <w:sz w:val="20"/>
          <w:szCs w:val="20"/>
        </w:rPr>
        <w:t xml:space="preserve">, </w:t>
      </w:r>
      <w:r w:rsidR="00644FB2">
        <w:rPr>
          <w:rFonts w:ascii="Tahoma" w:hAnsi="Tahoma" w:cs="Tahoma"/>
          <w:sz w:val="20"/>
          <w:szCs w:val="20"/>
        </w:rPr>
        <w:t>18 de Marzo 2011</w:t>
      </w:r>
    </w:p>
    <w:p w:rsidR="00D90D65" w:rsidRPr="00D90D65" w:rsidRDefault="00D90D65" w:rsidP="00D90D65">
      <w:pPr>
        <w:pStyle w:val="Textoindependiente3"/>
        <w:spacing w:after="0"/>
        <w:jc w:val="both"/>
        <w:rPr>
          <w:rFonts w:ascii="Tahoma" w:hAnsi="Tahoma" w:cs="Tahoma"/>
          <w:sz w:val="20"/>
          <w:szCs w:val="20"/>
        </w:rPr>
      </w:pPr>
    </w:p>
    <w:p w:rsidR="00D90D65" w:rsidRPr="00D90D65" w:rsidRDefault="00D90D65" w:rsidP="00D90D65">
      <w:pPr>
        <w:spacing w:after="0" w:line="240" w:lineRule="auto"/>
        <w:jc w:val="both"/>
        <w:rPr>
          <w:rFonts w:ascii="Tahoma" w:hAnsi="Tahoma" w:cs="Tahoma"/>
          <w:sz w:val="20"/>
          <w:szCs w:val="20"/>
        </w:rPr>
      </w:pPr>
      <w:r w:rsidRPr="00D90D65">
        <w:rPr>
          <w:rFonts w:ascii="Tahoma" w:hAnsi="Tahoma" w:cs="Tahoma"/>
          <w:b/>
          <w:sz w:val="20"/>
          <w:szCs w:val="20"/>
        </w:rPr>
        <w:t>VISTO</w:t>
      </w:r>
      <w:r w:rsidRPr="00D90D65">
        <w:rPr>
          <w:rFonts w:ascii="Tahoma" w:hAnsi="Tahoma" w:cs="Tahoma"/>
          <w:sz w:val="20"/>
          <w:szCs w:val="20"/>
        </w:rPr>
        <w:t xml:space="preserve"> en sesión de fecha </w:t>
      </w:r>
      <w:r w:rsidR="00480233">
        <w:rPr>
          <w:rFonts w:ascii="Tahoma" w:hAnsi="Tahoma" w:cs="Tahoma"/>
          <w:sz w:val="20"/>
          <w:szCs w:val="20"/>
        </w:rPr>
        <w:t>17</w:t>
      </w:r>
      <w:r w:rsidRPr="00D90D65">
        <w:rPr>
          <w:rFonts w:ascii="Tahoma" w:hAnsi="Tahoma" w:cs="Tahoma"/>
          <w:sz w:val="20"/>
          <w:szCs w:val="20"/>
        </w:rPr>
        <w:t xml:space="preserve"> de marzo de 2011 de la Primera Sala del Tribunal de Contrataciones del Estado el Expediente № </w:t>
      </w:r>
      <w:r w:rsidR="00480233">
        <w:rPr>
          <w:rFonts w:ascii="Tahoma" w:hAnsi="Tahoma" w:cs="Tahoma"/>
          <w:sz w:val="20"/>
          <w:szCs w:val="20"/>
        </w:rPr>
        <w:t>1879</w:t>
      </w:r>
      <w:r w:rsidRPr="00D90D65">
        <w:rPr>
          <w:rFonts w:ascii="Tahoma" w:hAnsi="Tahoma" w:cs="Tahoma"/>
          <w:sz w:val="20"/>
          <w:szCs w:val="20"/>
        </w:rPr>
        <w:t xml:space="preserve">/2010.TC, sobre el procedimiento administrativo sancionador contra </w:t>
      </w:r>
      <w:r w:rsidRPr="00D90D65">
        <w:rPr>
          <w:rFonts w:ascii="Tahoma" w:hAnsi="Tahoma" w:cs="Tahoma"/>
          <w:sz w:val="20"/>
          <w:szCs w:val="20"/>
          <w:lang w:val="es-PE"/>
        </w:rPr>
        <w:t xml:space="preserve">la empresa </w:t>
      </w:r>
      <w:r w:rsidR="00480233">
        <w:rPr>
          <w:rFonts w:ascii="Tahoma" w:hAnsi="Tahoma" w:cs="Tahoma"/>
          <w:sz w:val="20"/>
          <w:szCs w:val="20"/>
          <w:lang w:val="es-PE"/>
        </w:rPr>
        <w:t>C.P.R. INTER TRADING CORP S.A.C.</w:t>
      </w:r>
      <w:r w:rsidRPr="00D90D65">
        <w:rPr>
          <w:rFonts w:ascii="Tahoma" w:hAnsi="Tahoma" w:cs="Tahoma"/>
          <w:sz w:val="20"/>
          <w:szCs w:val="20"/>
        </w:rPr>
        <w:t xml:space="preserve">, </w:t>
      </w:r>
      <w:r w:rsidRPr="00D90D65">
        <w:rPr>
          <w:rFonts w:ascii="Tahoma" w:hAnsi="Tahoma" w:cs="Tahoma"/>
          <w:sz w:val="20"/>
          <w:szCs w:val="20"/>
          <w:lang w:val="es-MX"/>
        </w:rPr>
        <w:t xml:space="preserve">por la presentación de documentos falsos durante </w:t>
      </w:r>
      <w:r w:rsidR="0032609D">
        <w:rPr>
          <w:rFonts w:ascii="Tahoma" w:hAnsi="Tahoma" w:cs="Tahoma"/>
          <w:sz w:val="20"/>
          <w:szCs w:val="20"/>
        </w:rPr>
        <w:t xml:space="preserve">el desarrollo de la </w:t>
      </w:r>
      <w:r w:rsidRPr="00D90D65">
        <w:rPr>
          <w:rFonts w:ascii="Tahoma" w:hAnsi="Tahoma" w:cs="Tahoma"/>
          <w:sz w:val="20"/>
          <w:szCs w:val="20"/>
        </w:rPr>
        <w:t xml:space="preserve"> </w:t>
      </w:r>
      <w:r w:rsidR="0032609D" w:rsidRPr="00D90D65">
        <w:rPr>
          <w:rFonts w:ascii="Tahoma" w:hAnsi="Tahoma" w:cs="Tahoma"/>
          <w:sz w:val="20"/>
          <w:szCs w:val="20"/>
        </w:rPr>
        <w:t>Adjudicación de Menor Cuantía Nº 025-2010-GR-CUSCO-DRTCC</w:t>
      </w:r>
      <w:r w:rsidR="0032609D">
        <w:rPr>
          <w:rFonts w:ascii="Tahoma" w:hAnsi="Tahoma" w:cs="Tahoma"/>
          <w:sz w:val="20"/>
          <w:szCs w:val="20"/>
        </w:rPr>
        <w:t>,</w:t>
      </w:r>
      <w:r w:rsidR="0032609D" w:rsidRPr="00D90D65">
        <w:rPr>
          <w:rFonts w:ascii="Tahoma" w:hAnsi="Tahoma" w:cs="Tahoma"/>
          <w:sz w:val="20"/>
          <w:szCs w:val="20"/>
        </w:rPr>
        <w:t xml:space="preserve"> </w:t>
      </w:r>
      <w:r w:rsidR="0032609D">
        <w:rPr>
          <w:rFonts w:ascii="Tahoma" w:hAnsi="Tahoma" w:cs="Tahoma"/>
          <w:sz w:val="20"/>
          <w:szCs w:val="20"/>
        </w:rPr>
        <w:t xml:space="preserve">efectuada por </w:t>
      </w:r>
      <w:r w:rsidR="0032609D" w:rsidRPr="00D90D65">
        <w:rPr>
          <w:rFonts w:ascii="Tahoma" w:hAnsi="Tahoma" w:cs="Tahoma"/>
          <w:sz w:val="20"/>
          <w:szCs w:val="20"/>
        </w:rPr>
        <w:t xml:space="preserve">la Dirección Regional De Transporte </w:t>
      </w:r>
      <w:r w:rsidR="003A20B7">
        <w:rPr>
          <w:rFonts w:ascii="Tahoma" w:hAnsi="Tahoma" w:cs="Tahoma"/>
          <w:sz w:val="20"/>
          <w:szCs w:val="20"/>
        </w:rPr>
        <w:t>y</w:t>
      </w:r>
      <w:r w:rsidR="0032609D" w:rsidRPr="00D90D65">
        <w:rPr>
          <w:rFonts w:ascii="Tahoma" w:hAnsi="Tahoma" w:cs="Tahoma"/>
          <w:sz w:val="20"/>
          <w:szCs w:val="20"/>
        </w:rPr>
        <w:t xml:space="preserve"> Comunicaciones </w:t>
      </w:r>
      <w:r w:rsidR="003A20B7">
        <w:rPr>
          <w:rFonts w:ascii="Tahoma" w:hAnsi="Tahoma" w:cs="Tahoma"/>
          <w:sz w:val="20"/>
          <w:szCs w:val="20"/>
        </w:rPr>
        <w:t xml:space="preserve">del </w:t>
      </w:r>
      <w:r w:rsidR="0032609D" w:rsidRPr="00D90D65">
        <w:rPr>
          <w:rFonts w:ascii="Tahoma" w:hAnsi="Tahoma" w:cs="Tahoma"/>
          <w:sz w:val="20"/>
          <w:szCs w:val="20"/>
        </w:rPr>
        <w:t>Cuzco</w:t>
      </w:r>
      <w:r w:rsidR="003A20B7">
        <w:rPr>
          <w:rFonts w:ascii="Tahoma" w:hAnsi="Tahoma" w:cs="Tahoma"/>
          <w:sz w:val="20"/>
          <w:szCs w:val="20"/>
        </w:rPr>
        <w:t>,</w:t>
      </w:r>
      <w:r w:rsidR="0032609D" w:rsidRPr="00D90D65">
        <w:rPr>
          <w:rFonts w:ascii="Tahoma" w:hAnsi="Tahoma" w:cs="Tahoma"/>
          <w:sz w:val="20"/>
          <w:szCs w:val="20"/>
        </w:rPr>
        <w:t xml:space="preserve"> para la adquisición de repuestos para tractor oruga para el mantenimiento periódico de la carretera Huancarani – Ccatca</w:t>
      </w:r>
      <w:r w:rsidRPr="00D90D65">
        <w:rPr>
          <w:rFonts w:ascii="Tahoma" w:hAnsi="Tahoma" w:cs="Tahoma"/>
          <w:sz w:val="20"/>
          <w:szCs w:val="20"/>
        </w:rPr>
        <w:t>,</w:t>
      </w:r>
      <w:r w:rsidR="0032609D">
        <w:rPr>
          <w:rFonts w:ascii="Tahoma" w:hAnsi="Tahoma" w:cs="Tahoma"/>
          <w:sz w:val="20"/>
          <w:szCs w:val="20"/>
        </w:rPr>
        <w:t xml:space="preserve"> oídos los informes orales en la audiencia pública de fecha </w:t>
      </w:r>
      <w:r w:rsidRPr="00D90D65">
        <w:rPr>
          <w:rFonts w:ascii="Tahoma" w:hAnsi="Tahoma" w:cs="Tahoma"/>
          <w:sz w:val="20"/>
          <w:szCs w:val="20"/>
        </w:rPr>
        <w:t xml:space="preserve"> </w:t>
      </w:r>
      <w:r w:rsidR="0032609D">
        <w:rPr>
          <w:rFonts w:ascii="Tahoma" w:hAnsi="Tahoma" w:cs="Tahoma"/>
          <w:sz w:val="20"/>
          <w:szCs w:val="20"/>
        </w:rPr>
        <w:t xml:space="preserve">10 de marzo de 2011, y; </w:t>
      </w:r>
      <w:r w:rsidRPr="00D90D65">
        <w:rPr>
          <w:rFonts w:ascii="Tahoma" w:hAnsi="Tahoma" w:cs="Tahoma"/>
          <w:sz w:val="20"/>
          <w:szCs w:val="20"/>
        </w:rPr>
        <w:t xml:space="preserve">atendiendo a los siguientes:   </w:t>
      </w:r>
    </w:p>
    <w:p w:rsidR="00D90D65" w:rsidRPr="00D90D65" w:rsidRDefault="00D90D65" w:rsidP="00D90D65">
      <w:pPr>
        <w:spacing w:after="0" w:line="240" w:lineRule="auto"/>
        <w:ind w:right="45"/>
        <w:jc w:val="both"/>
        <w:rPr>
          <w:rFonts w:ascii="Tahoma" w:hAnsi="Tahoma" w:cs="Tahoma"/>
          <w:sz w:val="20"/>
          <w:szCs w:val="20"/>
        </w:rPr>
      </w:pPr>
    </w:p>
    <w:p w:rsidR="00D90D65" w:rsidRPr="00D90D65" w:rsidRDefault="00D90D65" w:rsidP="00D90D65">
      <w:pPr>
        <w:pStyle w:val="Ttulo2"/>
        <w:jc w:val="both"/>
        <w:rPr>
          <w:rFonts w:cs="Tahoma"/>
          <w:sz w:val="20"/>
        </w:rPr>
      </w:pPr>
      <w:r w:rsidRPr="00D90D65">
        <w:rPr>
          <w:rFonts w:cs="Tahoma"/>
          <w:sz w:val="20"/>
        </w:rPr>
        <w:t>ANTECEDENTES:</w:t>
      </w:r>
    </w:p>
    <w:p w:rsidR="00D90D65" w:rsidRDefault="00D90D65" w:rsidP="00D90D65">
      <w:pPr>
        <w:spacing w:after="0" w:line="240" w:lineRule="auto"/>
        <w:ind w:left="720"/>
        <w:jc w:val="both"/>
        <w:rPr>
          <w:rFonts w:ascii="Tahoma" w:hAnsi="Tahoma" w:cs="Tahoma"/>
          <w:sz w:val="20"/>
          <w:szCs w:val="20"/>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Mediante publicación efectuada el 28 de septiembre de 2010, en el Sistema Electrónico de Contrataciones y Adquisiciones del Estado (SEACE), la dirección Regional de Transporte y Comunicaciones Cuzco, en adelante la Entidad, convocó la Adjudicación de Menor Cuantía Nº 025-2010-GR-CUSCO-DRTCC, para la adquisición de repuestos para tractor oruga para el mantenimiento periódico de la carretera Huancarani – Ccatca, por un valor referencial equivalente a S/. 21,055.00  nuevos soles, incluidos los impuestos de Ley.</w:t>
      </w:r>
    </w:p>
    <w:p w:rsidR="00D90D65" w:rsidRDefault="00D90D65" w:rsidP="00D90D65">
      <w:pPr>
        <w:spacing w:after="0" w:line="240" w:lineRule="auto"/>
        <w:ind w:left="720"/>
        <w:jc w:val="both"/>
        <w:rPr>
          <w:rFonts w:ascii="Tahoma" w:hAnsi="Tahoma" w:cs="Tahoma"/>
          <w:sz w:val="20"/>
          <w:szCs w:val="20"/>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El 30 de septiembre de 2010, se llevó a cabo el acto de presentación de propuestas y el otorgamiento de la buena pro, a favor de la empresa C.P.R. TRADING CORP  S.A.C., en adelante el Postor.</w:t>
      </w:r>
    </w:p>
    <w:p w:rsidR="00D90D65" w:rsidRPr="00D90D65" w:rsidRDefault="00D90D65" w:rsidP="00D90D65">
      <w:pPr>
        <w:pStyle w:val="Prrafodelista"/>
        <w:rPr>
          <w:rFonts w:ascii="Tahoma" w:hAnsi="Tahoma" w:cs="Tahoma"/>
          <w:sz w:val="20"/>
          <w:lang w:val="es-ES"/>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El 07 de octubre de 2010, la Entidad realizó la fiscalización posterior a los documentos presentados por el Postor, para lo cual, con Cartas Nros 068 y 069 -2010-GR-CUSCO-DRTCC-DA-OL se solicitó a la Municipalidad Provincial de Satipo y al Ministerio de Transportes y Comunicaciones, se sirvan dar conformidad a las Facturas Nros 001-000230, 001-00180 y 001-00195, 001-00174, respectivamente.</w:t>
      </w:r>
    </w:p>
    <w:p w:rsidR="00D90D65" w:rsidRPr="00D90D65" w:rsidRDefault="00D90D65" w:rsidP="00D90D65">
      <w:pPr>
        <w:pStyle w:val="Prrafodelista"/>
        <w:rPr>
          <w:rFonts w:ascii="Tahoma" w:hAnsi="Tahoma" w:cs="Tahoma"/>
          <w:sz w:val="20"/>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El 12 de noviembre de 2010, vía correo electrónico, la Municipalidad Provincial de Satipo remitió la Carta Nº 076-2010-SGL/MPS, en la cual indicó que las Facturas Nros 001-000203 y 001-00180 no se encuentran registradas en sus archivos, y por ende se negó la autenticidad de los citados documentos.</w:t>
      </w:r>
    </w:p>
    <w:p w:rsidR="00D90D65" w:rsidRPr="00D90D65" w:rsidRDefault="00D90D65" w:rsidP="00D90D65">
      <w:pPr>
        <w:pStyle w:val="Prrafodelista"/>
        <w:rPr>
          <w:rFonts w:ascii="Tahoma" w:hAnsi="Tahoma" w:cs="Tahoma"/>
          <w:sz w:val="20"/>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 xml:space="preserve">Con Resolución Directoral Nº 1252-2010-GR-CUSCO de fecha 24 de noviembre de 2010, se declaró </w:t>
      </w:r>
      <w:r w:rsidR="00480233" w:rsidRPr="00D90D65">
        <w:rPr>
          <w:rFonts w:ascii="Tahoma" w:hAnsi="Tahoma" w:cs="Tahoma"/>
          <w:sz w:val="20"/>
          <w:szCs w:val="20"/>
        </w:rPr>
        <w:t>la</w:t>
      </w:r>
      <w:r w:rsidRPr="00D90D65">
        <w:rPr>
          <w:rFonts w:ascii="Tahoma" w:hAnsi="Tahoma" w:cs="Tahoma"/>
          <w:sz w:val="20"/>
          <w:szCs w:val="20"/>
        </w:rPr>
        <w:t xml:space="preserve"> nulidad de la Adjudicación de Menor Cuantía Nº 025-2010-GR-</w:t>
      </w:r>
      <w:r w:rsidRPr="00D90D65">
        <w:rPr>
          <w:rFonts w:ascii="Tahoma" w:hAnsi="Tahoma" w:cs="Tahoma"/>
          <w:sz w:val="20"/>
          <w:szCs w:val="20"/>
        </w:rPr>
        <w:lastRenderedPageBreak/>
        <w:t>CUSCO-DRTCC, dejándose sin efecto la buena pro y retrotrayéndose a la etapa de calificación de propuestas.</w:t>
      </w:r>
    </w:p>
    <w:p w:rsidR="00D90D65" w:rsidRPr="00D90D65" w:rsidRDefault="00D90D65" w:rsidP="00D90D65">
      <w:pPr>
        <w:pStyle w:val="Prrafodelista"/>
        <w:rPr>
          <w:rFonts w:ascii="Tahoma" w:hAnsi="Tahoma" w:cs="Tahoma"/>
          <w:sz w:val="20"/>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Con Formulario de Denuncia de fecha 30 de diciembre de 2010, la Entidad puso en conocimiento de este Colegiado los hechos antes expuestos.</w:t>
      </w:r>
    </w:p>
    <w:p w:rsidR="00D90D65" w:rsidRPr="00D90D65" w:rsidRDefault="00D90D65" w:rsidP="00D90D65">
      <w:pPr>
        <w:pStyle w:val="Prrafodelista"/>
        <w:rPr>
          <w:rFonts w:ascii="Tahoma" w:hAnsi="Tahoma" w:cs="Tahoma"/>
          <w:sz w:val="20"/>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 xml:space="preserve">Con decreto de fecha 10 de enero de 2011, se inició procedimiento administrativo sancionador contra el Postor por supuesta responsabilidad en la presentación de documentos falsos o inexactos, infracción tipificada en el </w:t>
      </w:r>
      <w:r w:rsidRPr="00D90D65">
        <w:rPr>
          <w:rFonts w:ascii="Tahoma" w:eastAsia="Times New Roman" w:hAnsi="Tahoma" w:cs="Tahoma"/>
          <w:spacing w:val="-2"/>
          <w:sz w:val="20"/>
          <w:szCs w:val="20"/>
          <w:lang w:eastAsia="es-ES"/>
        </w:rPr>
        <w:t xml:space="preserve">literal i) del numeral 51.1 del artículo 51 de la Ley </w:t>
      </w:r>
      <w:r w:rsidRPr="00D90D65">
        <w:rPr>
          <w:rFonts w:ascii="Tahoma" w:eastAsia="Times New Roman" w:hAnsi="Tahoma" w:cs="Tahoma"/>
          <w:sz w:val="20"/>
          <w:szCs w:val="20"/>
          <w:lang w:eastAsia="es-ES"/>
        </w:rPr>
        <w:t>de Contrataciones del Estado, aprobado por Decreto Legislativo Nº 1017, y en el literal i) del numeral 1 del artículo 237 de su Reglamento, aprobado por Decreto Supremo Nº 184-2008-EF</w:t>
      </w:r>
      <w:r w:rsidRPr="00D90D65">
        <w:rPr>
          <w:rFonts w:ascii="Tahoma" w:hAnsi="Tahoma" w:cs="Tahoma"/>
          <w:sz w:val="20"/>
          <w:szCs w:val="20"/>
        </w:rPr>
        <w:t>. Asimismo, se le concedió el plazo de diez (10) días hábiles, a efectos que presente sus descargos respectivos, bajo apercibimiento de resolver con la documentación obrante en autos.</w:t>
      </w:r>
    </w:p>
    <w:p w:rsidR="00D90D65" w:rsidRPr="00D90D65" w:rsidRDefault="00D90D65" w:rsidP="00D90D65">
      <w:pPr>
        <w:pStyle w:val="Prrafodelista"/>
        <w:rPr>
          <w:rFonts w:ascii="Tahoma" w:hAnsi="Tahoma" w:cs="Tahoma"/>
          <w:sz w:val="20"/>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Mediante escritos de fechas 14 y 16 de febrero de 2011, el Postor presentó sus descargos en los siguientes términos:</w:t>
      </w:r>
    </w:p>
    <w:p w:rsidR="00D90D65" w:rsidRPr="00D90D65" w:rsidRDefault="00D90D65" w:rsidP="00D90D65">
      <w:pPr>
        <w:pStyle w:val="Prrafodelista"/>
        <w:rPr>
          <w:rFonts w:ascii="Tahoma" w:hAnsi="Tahoma" w:cs="Tahoma"/>
          <w:sz w:val="20"/>
        </w:rPr>
      </w:pPr>
    </w:p>
    <w:p w:rsidR="00D90D65" w:rsidRPr="00D90D65" w:rsidRDefault="00D90D65" w:rsidP="00D90D65">
      <w:pPr>
        <w:pStyle w:val="Prrafodelista"/>
        <w:widowControl/>
        <w:numPr>
          <w:ilvl w:val="0"/>
          <w:numId w:val="6"/>
        </w:numPr>
        <w:suppressAutoHyphens w:val="0"/>
        <w:jc w:val="both"/>
        <w:rPr>
          <w:rFonts w:ascii="Tahoma" w:hAnsi="Tahoma" w:cs="Tahoma"/>
          <w:sz w:val="20"/>
        </w:rPr>
      </w:pPr>
      <w:r w:rsidRPr="00D90D65">
        <w:rPr>
          <w:rFonts w:ascii="Tahoma" w:hAnsi="Tahoma" w:cs="Tahoma"/>
          <w:sz w:val="20"/>
        </w:rPr>
        <w:t>Se reconoce el error incurrido, ya que dichas facturas nunca debieron ser presentadas  en el proceso, pues fueron redactas de manera errónea y por ende anuladas contablemente. Por ello se trata de un error y no de una información inexacta.</w:t>
      </w:r>
    </w:p>
    <w:p w:rsidR="00D90D65" w:rsidRPr="00D90D65" w:rsidRDefault="00D90D65" w:rsidP="00D90D65">
      <w:pPr>
        <w:pStyle w:val="Prrafodelista"/>
        <w:ind w:left="1428"/>
        <w:rPr>
          <w:rFonts w:ascii="Tahoma" w:hAnsi="Tahoma" w:cs="Tahoma"/>
          <w:sz w:val="20"/>
        </w:rPr>
      </w:pPr>
    </w:p>
    <w:p w:rsidR="00D90D65" w:rsidRPr="00D90D65" w:rsidRDefault="00D90D65" w:rsidP="00D90D65">
      <w:pPr>
        <w:pStyle w:val="Prrafodelista"/>
        <w:widowControl/>
        <w:numPr>
          <w:ilvl w:val="0"/>
          <w:numId w:val="6"/>
        </w:numPr>
        <w:suppressAutoHyphens w:val="0"/>
        <w:jc w:val="both"/>
        <w:rPr>
          <w:rFonts w:ascii="Tahoma" w:hAnsi="Tahoma" w:cs="Tahoma"/>
          <w:sz w:val="20"/>
        </w:rPr>
      </w:pPr>
      <w:r w:rsidRPr="00D90D65">
        <w:rPr>
          <w:rFonts w:ascii="Tahoma" w:hAnsi="Tahoma" w:cs="Tahoma"/>
          <w:sz w:val="20"/>
        </w:rPr>
        <w:t>Las facturas fueron llenadas erróneamente con el nombre de la Municipalidad de Satipo, sin embargo, el contenido de los bienes consignados  en los comprobantes son verdaderos, producto de una cotización  que se hizo a la empresa W.J. COMPANY CENTER S.A.C.</w:t>
      </w:r>
    </w:p>
    <w:p w:rsidR="00D90D65" w:rsidRPr="00D90D65" w:rsidRDefault="00D90D65" w:rsidP="00D90D65">
      <w:pPr>
        <w:pStyle w:val="Prrafodelista"/>
        <w:rPr>
          <w:rFonts w:ascii="Tahoma" w:hAnsi="Tahoma" w:cs="Tahoma"/>
          <w:sz w:val="20"/>
        </w:rPr>
      </w:pPr>
    </w:p>
    <w:p w:rsidR="00D90D65" w:rsidRPr="00D90D65" w:rsidRDefault="00D90D65" w:rsidP="00D90D65">
      <w:pPr>
        <w:pStyle w:val="Prrafodelista"/>
        <w:widowControl/>
        <w:numPr>
          <w:ilvl w:val="0"/>
          <w:numId w:val="6"/>
        </w:numPr>
        <w:suppressAutoHyphens w:val="0"/>
        <w:jc w:val="both"/>
        <w:rPr>
          <w:rFonts w:ascii="Tahoma" w:hAnsi="Tahoma" w:cs="Tahoma"/>
          <w:sz w:val="20"/>
        </w:rPr>
      </w:pPr>
      <w:r w:rsidRPr="00D90D65">
        <w:rPr>
          <w:rFonts w:ascii="Tahoma" w:hAnsi="Tahoma" w:cs="Tahoma"/>
          <w:sz w:val="20"/>
        </w:rPr>
        <w:t>En el mes de mayo y junio de 2008, la empresa W.J. COMPANY CENTER S.A.C. solicitó una cotización de productos consignados en las facturas materia de denuncia, pero la persona encargada de facturación en el entendido que la venta se produciría  redacto e imprimió las facturas, como si fuera una posible venta de los productos.</w:t>
      </w:r>
    </w:p>
    <w:p w:rsidR="00D90D65" w:rsidRPr="00D90D65" w:rsidRDefault="00D90D65" w:rsidP="00D90D65">
      <w:pPr>
        <w:pStyle w:val="Prrafodelista"/>
        <w:rPr>
          <w:rFonts w:ascii="Tahoma" w:hAnsi="Tahoma" w:cs="Tahoma"/>
          <w:sz w:val="20"/>
        </w:rPr>
      </w:pPr>
    </w:p>
    <w:p w:rsidR="00D90D65" w:rsidRPr="00D90D65" w:rsidRDefault="00D90D65" w:rsidP="00D90D65">
      <w:pPr>
        <w:pStyle w:val="Prrafodelista"/>
        <w:widowControl/>
        <w:numPr>
          <w:ilvl w:val="0"/>
          <w:numId w:val="6"/>
        </w:numPr>
        <w:suppressAutoHyphens w:val="0"/>
        <w:jc w:val="both"/>
        <w:rPr>
          <w:rFonts w:ascii="Tahoma" w:hAnsi="Tahoma" w:cs="Tahoma"/>
          <w:sz w:val="20"/>
        </w:rPr>
      </w:pPr>
      <w:r w:rsidRPr="00D90D65">
        <w:rPr>
          <w:rFonts w:ascii="Tahoma" w:hAnsi="Tahoma" w:cs="Tahoma"/>
          <w:sz w:val="20"/>
        </w:rPr>
        <w:t>Al imprimirse estos documentos se cometió el error de consignar el nombre incorrecto, lo cual resultaba irrelevante, pues la venta no se produjo y las facturas fueron anuladas.</w:t>
      </w:r>
    </w:p>
    <w:p w:rsidR="00D90D65" w:rsidRPr="00D90D65" w:rsidRDefault="00D90D65" w:rsidP="00D90D65">
      <w:pPr>
        <w:pStyle w:val="Prrafodelista"/>
        <w:rPr>
          <w:rFonts w:ascii="Tahoma" w:hAnsi="Tahoma" w:cs="Tahoma"/>
          <w:sz w:val="20"/>
        </w:rPr>
      </w:pPr>
    </w:p>
    <w:p w:rsidR="00D90D65" w:rsidRPr="00D90D65" w:rsidRDefault="00D90D65" w:rsidP="00D90D65">
      <w:pPr>
        <w:pStyle w:val="Prrafodelista"/>
        <w:widowControl/>
        <w:numPr>
          <w:ilvl w:val="0"/>
          <w:numId w:val="6"/>
        </w:numPr>
        <w:suppressAutoHyphens w:val="0"/>
        <w:jc w:val="both"/>
        <w:rPr>
          <w:rFonts w:ascii="Tahoma" w:hAnsi="Tahoma" w:cs="Tahoma"/>
          <w:sz w:val="20"/>
        </w:rPr>
      </w:pPr>
      <w:r w:rsidRPr="00D90D65">
        <w:rPr>
          <w:rFonts w:ascii="Tahoma" w:hAnsi="Tahoma" w:cs="Tahoma"/>
          <w:sz w:val="20"/>
        </w:rPr>
        <w:t xml:space="preserve">El inconveniente se suscita cuando el contador remitió dichas facturas para que sean consideradas en la propuesta técnica, sin considerar que habían sido anuladas. </w:t>
      </w:r>
    </w:p>
    <w:p w:rsidR="00D90D65" w:rsidRPr="00D90D65" w:rsidRDefault="00D90D65" w:rsidP="00D90D65">
      <w:pPr>
        <w:pStyle w:val="Prrafodelista"/>
        <w:rPr>
          <w:rFonts w:ascii="Tahoma" w:hAnsi="Tahoma" w:cs="Tahoma"/>
          <w:sz w:val="20"/>
        </w:rPr>
      </w:pPr>
    </w:p>
    <w:p w:rsidR="00D90D65" w:rsidRPr="00D90D65" w:rsidRDefault="00D90D65" w:rsidP="00D90D65">
      <w:pPr>
        <w:pStyle w:val="Prrafodelista"/>
        <w:widowControl/>
        <w:numPr>
          <w:ilvl w:val="0"/>
          <w:numId w:val="6"/>
        </w:numPr>
        <w:suppressAutoHyphens w:val="0"/>
        <w:jc w:val="both"/>
        <w:rPr>
          <w:rFonts w:ascii="Tahoma" w:hAnsi="Tahoma" w:cs="Tahoma"/>
          <w:sz w:val="20"/>
        </w:rPr>
      </w:pPr>
      <w:r w:rsidRPr="00D90D65">
        <w:rPr>
          <w:rFonts w:ascii="Tahoma" w:hAnsi="Tahoma" w:cs="Tahoma"/>
          <w:sz w:val="20"/>
        </w:rPr>
        <w:t>Como se puede apreciar, el error se produce por la negligencia del contador, encargado de remitir las facturas. En dicha conducta no existió ningún dolo ni intención de realizar dicho acto.</w:t>
      </w:r>
    </w:p>
    <w:p w:rsidR="00D90D65" w:rsidRPr="00D90D65" w:rsidRDefault="00D90D65" w:rsidP="00D90D65">
      <w:pPr>
        <w:pStyle w:val="Prrafodelista"/>
        <w:rPr>
          <w:rFonts w:ascii="Tahoma" w:hAnsi="Tahoma" w:cs="Tahoma"/>
          <w:sz w:val="20"/>
        </w:rPr>
      </w:pPr>
    </w:p>
    <w:p w:rsidR="00D90D65" w:rsidRPr="00D90D65" w:rsidRDefault="00D90D65" w:rsidP="00D90D65">
      <w:pPr>
        <w:pStyle w:val="Prrafodelista"/>
        <w:widowControl/>
        <w:numPr>
          <w:ilvl w:val="0"/>
          <w:numId w:val="6"/>
        </w:numPr>
        <w:suppressAutoHyphens w:val="0"/>
        <w:jc w:val="both"/>
        <w:rPr>
          <w:rFonts w:ascii="Tahoma" w:hAnsi="Tahoma" w:cs="Tahoma"/>
          <w:sz w:val="20"/>
        </w:rPr>
      </w:pPr>
      <w:r w:rsidRPr="00D90D65">
        <w:rPr>
          <w:rFonts w:ascii="Tahoma" w:hAnsi="Tahoma" w:cs="Tahoma"/>
          <w:sz w:val="20"/>
        </w:rPr>
        <w:t xml:space="preserve"> El Tribunal debe considerar que resultaba innecesario presentar dichas facturas anuladas, pues el Postor contaba con la experiencia necesaria en la venta de repuestos para tractor oruga.</w:t>
      </w:r>
    </w:p>
    <w:p w:rsidR="00D90D65" w:rsidRPr="00D90D65" w:rsidRDefault="00D90D65" w:rsidP="00D90D65">
      <w:pPr>
        <w:pStyle w:val="Prrafodelista"/>
        <w:rPr>
          <w:rFonts w:ascii="Tahoma" w:hAnsi="Tahoma" w:cs="Tahoma"/>
          <w:sz w:val="20"/>
        </w:rPr>
      </w:pPr>
    </w:p>
    <w:p w:rsidR="00D90D65" w:rsidRPr="00D90D65" w:rsidRDefault="00D90D65" w:rsidP="00D90D65">
      <w:pPr>
        <w:pStyle w:val="Prrafodelista"/>
        <w:widowControl/>
        <w:numPr>
          <w:ilvl w:val="0"/>
          <w:numId w:val="6"/>
        </w:numPr>
        <w:suppressAutoHyphens w:val="0"/>
        <w:jc w:val="both"/>
        <w:rPr>
          <w:rFonts w:ascii="Tahoma" w:hAnsi="Tahoma" w:cs="Tahoma"/>
          <w:sz w:val="20"/>
        </w:rPr>
      </w:pPr>
      <w:r w:rsidRPr="00D90D65">
        <w:rPr>
          <w:rFonts w:ascii="Tahoma" w:hAnsi="Tahoma" w:cs="Tahoma"/>
          <w:sz w:val="20"/>
        </w:rPr>
        <w:t>Solicitó se le conceda el uso de la palabra.</w:t>
      </w:r>
    </w:p>
    <w:p w:rsidR="00D90D65" w:rsidRPr="00D90D65" w:rsidRDefault="00D90D65" w:rsidP="00D90D65">
      <w:pPr>
        <w:spacing w:line="240" w:lineRule="auto"/>
        <w:ind w:left="720"/>
        <w:rPr>
          <w:rFonts w:ascii="Tahoma" w:hAnsi="Tahoma" w:cs="Tahoma"/>
          <w:sz w:val="20"/>
          <w:szCs w:val="20"/>
        </w:rPr>
      </w:pPr>
    </w:p>
    <w:p w:rsidR="00D90D65" w:rsidRPr="00D90D65" w:rsidRDefault="00D90D65" w:rsidP="00D90D65">
      <w:pPr>
        <w:numPr>
          <w:ilvl w:val="0"/>
          <w:numId w:val="5"/>
        </w:numPr>
        <w:spacing w:after="0" w:line="240" w:lineRule="auto"/>
        <w:jc w:val="both"/>
        <w:rPr>
          <w:rFonts w:ascii="Tahoma" w:hAnsi="Tahoma" w:cs="Tahoma"/>
          <w:sz w:val="20"/>
          <w:szCs w:val="20"/>
        </w:rPr>
      </w:pPr>
      <w:r w:rsidRPr="00D90D65">
        <w:rPr>
          <w:rFonts w:ascii="Tahoma" w:hAnsi="Tahoma" w:cs="Tahoma"/>
          <w:sz w:val="20"/>
          <w:szCs w:val="20"/>
        </w:rPr>
        <w:t>Con decreto de fecha 21 de febrero de 2011, se tuvo por apersonado al Postor y se remitió el expediente a la Primera Sala del Tribunal para que emita pronunciamiento.</w:t>
      </w:r>
    </w:p>
    <w:p w:rsidR="006C03E0" w:rsidRDefault="006C03E0" w:rsidP="006C03E0">
      <w:pPr>
        <w:spacing w:after="0" w:line="240" w:lineRule="auto"/>
        <w:ind w:left="720"/>
        <w:jc w:val="both"/>
        <w:rPr>
          <w:rFonts w:ascii="Tahoma" w:hAnsi="Tahoma" w:cs="Tahoma"/>
          <w:sz w:val="20"/>
          <w:szCs w:val="20"/>
        </w:rPr>
      </w:pPr>
    </w:p>
    <w:p w:rsidR="00D90D65" w:rsidRPr="002162C1" w:rsidRDefault="00D90D65" w:rsidP="00D90D65">
      <w:pPr>
        <w:numPr>
          <w:ilvl w:val="0"/>
          <w:numId w:val="5"/>
        </w:numPr>
        <w:spacing w:after="0" w:line="240" w:lineRule="auto"/>
        <w:jc w:val="both"/>
        <w:rPr>
          <w:rFonts w:ascii="Tahoma" w:hAnsi="Tahoma" w:cs="Tahoma"/>
          <w:sz w:val="20"/>
          <w:szCs w:val="20"/>
        </w:rPr>
      </w:pPr>
      <w:r w:rsidRPr="002162C1">
        <w:rPr>
          <w:rFonts w:ascii="Tahoma" w:hAnsi="Tahoma" w:cs="Tahoma"/>
          <w:sz w:val="20"/>
          <w:szCs w:val="20"/>
        </w:rPr>
        <w:t>El 10 de marzo de 2011 se llevó a cabo la diligencia de audiencia pública con intervención de los representantes de Postor.</w:t>
      </w:r>
    </w:p>
    <w:p w:rsidR="002162C1" w:rsidRPr="002162C1" w:rsidRDefault="002162C1" w:rsidP="002162C1">
      <w:pPr>
        <w:pStyle w:val="Prrafodelista"/>
        <w:rPr>
          <w:rFonts w:ascii="Tahoma" w:hAnsi="Tahoma" w:cs="Tahoma"/>
          <w:sz w:val="20"/>
        </w:rPr>
      </w:pPr>
    </w:p>
    <w:p w:rsidR="002162C1" w:rsidRPr="002162C1" w:rsidRDefault="002162C1" w:rsidP="002162C1">
      <w:pPr>
        <w:numPr>
          <w:ilvl w:val="0"/>
          <w:numId w:val="5"/>
        </w:numPr>
        <w:spacing w:after="0" w:line="240" w:lineRule="auto"/>
        <w:jc w:val="both"/>
        <w:rPr>
          <w:rFonts w:ascii="Tahoma" w:hAnsi="Tahoma" w:cs="Tahoma"/>
          <w:sz w:val="20"/>
          <w:szCs w:val="20"/>
        </w:rPr>
      </w:pPr>
      <w:r w:rsidRPr="002162C1">
        <w:rPr>
          <w:rFonts w:ascii="Tahoma" w:hAnsi="Tahoma" w:cs="Tahoma"/>
          <w:sz w:val="20"/>
          <w:szCs w:val="20"/>
        </w:rPr>
        <w:t>Con escrito de fecha 17 de marzo de 2011, y remitido a la Primera Sala del Tribunal el Postor indicó lo siguiente:</w:t>
      </w:r>
    </w:p>
    <w:p w:rsidR="002162C1" w:rsidRPr="002162C1" w:rsidRDefault="002162C1" w:rsidP="002162C1">
      <w:pPr>
        <w:pStyle w:val="Prrafodelista"/>
        <w:rPr>
          <w:rFonts w:ascii="Tahoma" w:hAnsi="Tahoma" w:cs="Tahoma"/>
          <w:sz w:val="20"/>
        </w:rPr>
      </w:pPr>
    </w:p>
    <w:p w:rsidR="002162C1" w:rsidRPr="002162C1" w:rsidRDefault="002162C1" w:rsidP="002162C1">
      <w:pPr>
        <w:numPr>
          <w:ilvl w:val="0"/>
          <w:numId w:val="10"/>
        </w:numPr>
        <w:spacing w:after="0" w:line="240" w:lineRule="auto"/>
        <w:jc w:val="both"/>
        <w:rPr>
          <w:rFonts w:ascii="Tahoma" w:hAnsi="Tahoma" w:cs="Tahoma"/>
          <w:sz w:val="20"/>
          <w:szCs w:val="20"/>
        </w:rPr>
      </w:pPr>
      <w:r w:rsidRPr="002162C1">
        <w:rPr>
          <w:rFonts w:ascii="Tahoma" w:hAnsi="Tahoma" w:cs="Tahoma"/>
          <w:sz w:val="20"/>
          <w:szCs w:val="20"/>
        </w:rPr>
        <w:t>Las facturas anuladas no son declaradas o informadas ya que no existe ninguna norma que obligue a las empresas a hacerlo, En este sentido, ninguna factura anulada debe ser puesta conocimiento de SUNAT.</w:t>
      </w:r>
    </w:p>
    <w:p w:rsidR="002162C1" w:rsidRPr="002162C1" w:rsidRDefault="002162C1" w:rsidP="002162C1">
      <w:pPr>
        <w:ind w:left="1440"/>
        <w:rPr>
          <w:rFonts w:ascii="Tahoma" w:hAnsi="Tahoma" w:cs="Tahoma"/>
          <w:sz w:val="20"/>
          <w:szCs w:val="20"/>
        </w:rPr>
      </w:pPr>
    </w:p>
    <w:p w:rsidR="002162C1" w:rsidRPr="002162C1" w:rsidRDefault="002162C1" w:rsidP="002162C1">
      <w:pPr>
        <w:numPr>
          <w:ilvl w:val="0"/>
          <w:numId w:val="10"/>
        </w:numPr>
        <w:spacing w:after="0" w:line="240" w:lineRule="auto"/>
        <w:jc w:val="both"/>
        <w:rPr>
          <w:rFonts w:ascii="Tahoma" w:hAnsi="Tahoma" w:cs="Tahoma"/>
          <w:sz w:val="20"/>
          <w:szCs w:val="20"/>
        </w:rPr>
      </w:pPr>
      <w:r w:rsidRPr="002162C1">
        <w:rPr>
          <w:rFonts w:ascii="Tahoma" w:hAnsi="Tahoma" w:cs="Tahoma"/>
          <w:sz w:val="20"/>
          <w:szCs w:val="20"/>
        </w:rPr>
        <w:t>Mediante Resolución de Superintendencia Nº 077-99/SUNAT se estableció que las empresas deben anular y conservar el o los documentos que por fallas técnicas, errores en la emisión u otros motivos, hubieran sido inutilizados previamente a e entregados, a ser emitidos o durante su emisión, no debiendo ser declarados.</w:t>
      </w:r>
    </w:p>
    <w:p w:rsidR="002162C1" w:rsidRPr="00D90D65" w:rsidRDefault="002162C1" w:rsidP="002162C1">
      <w:pPr>
        <w:spacing w:after="0" w:line="240" w:lineRule="auto"/>
        <w:ind w:left="720"/>
        <w:jc w:val="both"/>
        <w:rPr>
          <w:rFonts w:ascii="Tahoma" w:hAnsi="Tahoma" w:cs="Tahoma"/>
          <w:sz w:val="20"/>
          <w:szCs w:val="20"/>
        </w:rPr>
      </w:pPr>
    </w:p>
    <w:p w:rsidR="00D90D65" w:rsidRPr="00D90D65" w:rsidRDefault="00D90D65" w:rsidP="00D90D65">
      <w:pPr>
        <w:tabs>
          <w:tab w:val="num" w:pos="9720"/>
        </w:tabs>
        <w:spacing w:after="0" w:line="240" w:lineRule="auto"/>
        <w:jc w:val="both"/>
        <w:rPr>
          <w:rFonts w:ascii="Tahoma" w:hAnsi="Tahoma" w:cs="Tahoma"/>
          <w:b/>
          <w:sz w:val="20"/>
          <w:szCs w:val="20"/>
        </w:rPr>
      </w:pPr>
      <w:r w:rsidRPr="00D90D65">
        <w:rPr>
          <w:rFonts w:ascii="Tahoma" w:hAnsi="Tahoma" w:cs="Tahoma"/>
          <w:b/>
          <w:sz w:val="20"/>
          <w:szCs w:val="20"/>
        </w:rPr>
        <w:t>FUNDAMENTACIÓN:</w:t>
      </w:r>
    </w:p>
    <w:p w:rsidR="006C03E0" w:rsidRPr="006C03E0" w:rsidRDefault="006C03E0" w:rsidP="006C03E0">
      <w:pPr>
        <w:widowControl w:val="0"/>
        <w:tabs>
          <w:tab w:val="left" w:pos="-2340"/>
        </w:tabs>
        <w:suppressAutoHyphens/>
        <w:spacing w:after="0" w:line="240" w:lineRule="auto"/>
        <w:ind w:left="600"/>
        <w:jc w:val="both"/>
        <w:rPr>
          <w:rFonts w:ascii="Tahoma" w:eastAsia="Times New Roman" w:hAnsi="Tahoma" w:cs="Tahoma"/>
          <w:sz w:val="20"/>
          <w:szCs w:val="20"/>
          <w:lang w:val="es-MX" w:eastAsia="es-ES"/>
        </w:rPr>
      </w:pPr>
    </w:p>
    <w:p w:rsidR="00D90D65" w:rsidRPr="00D90D65" w:rsidRDefault="00D90D65" w:rsidP="00D90D65">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D90D65">
        <w:rPr>
          <w:rFonts w:ascii="Tahoma" w:eastAsia="Times New Roman" w:hAnsi="Tahoma" w:cs="Tahoma"/>
          <w:sz w:val="20"/>
          <w:szCs w:val="20"/>
          <w:lang w:eastAsia="es-ES"/>
        </w:rPr>
        <w:t xml:space="preserve">Es materia del presente procedimiento administrativo sancionador la supuesta comisión de la infracción tipificada en el </w:t>
      </w:r>
      <w:r w:rsidRPr="00D90D65">
        <w:rPr>
          <w:rFonts w:ascii="Tahoma" w:eastAsia="Times New Roman" w:hAnsi="Tahoma" w:cs="Tahoma"/>
          <w:spacing w:val="-2"/>
          <w:sz w:val="20"/>
          <w:szCs w:val="20"/>
          <w:lang w:eastAsia="es-ES"/>
        </w:rPr>
        <w:t xml:space="preserve">literal i) del numeral 51.1 del artículo 51 de la Ley </w:t>
      </w:r>
      <w:r w:rsidRPr="00D90D65">
        <w:rPr>
          <w:rFonts w:ascii="Tahoma" w:eastAsia="Times New Roman" w:hAnsi="Tahoma" w:cs="Tahoma"/>
          <w:sz w:val="20"/>
          <w:szCs w:val="20"/>
          <w:lang w:eastAsia="es-ES"/>
        </w:rPr>
        <w:t xml:space="preserve">de Contrataciones del Estado, aprobado por Decreto Legislativo Nº 1017, y en el literal i) del numeral 1 del artículo 237 de su Reglamento, aprobado por Decreto Supremo Nº 184-2008-EF, normas vigentes al momento de suscitarse los hechos, en la que habría incurrido la empresa </w:t>
      </w:r>
      <w:r w:rsidRPr="00D90D65">
        <w:rPr>
          <w:rFonts w:ascii="Tahoma" w:hAnsi="Tahoma" w:cs="Tahoma"/>
          <w:sz w:val="20"/>
          <w:szCs w:val="20"/>
        </w:rPr>
        <w:t xml:space="preserve">C.P.R. TRADING CORP  S.A.C. </w:t>
      </w:r>
      <w:r w:rsidRPr="00D90D65">
        <w:rPr>
          <w:rFonts w:ascii="Tahoma" w:eastAsia="Times New Roman" w:hAnsi="Tahoma" w:cs="Tahoma"/>
          <w:sz w:val="20"/>
          <w:szCs w:val="20"/>
          <w:lang w:eastAsia="es-ES"/>
        </w:rPr>
        <w:t xml:space="preserve">durante su participación en la </w:t>
      </w:r>
      <w:r w:rsidRPr="00D90D65">
        <w:rPr>
          <w:rFonts w:ascii="Tahoma" w:hAnsi="Tahoma" w:cs="Tahoma"/>
          <w:sz w:val="20"/>
          <w:szCs w:val="20"/>
        </w:rPr>
        <w:t>Adjudicación de Menor Cuantía Nº 025-2010-GR-CUSCO-DRTCC</w:t>
      </w:r>
      <w:r w:rsidRPr="00D90D65">
        <w:rPr>
          <w:rFonts w:ascii="Tahoma" w:eastAsia="Times New Roman" w:hAnsi="Tahoma" w:cs="Tahoma"/>
          <w:sz w:val="20"/>
          <w:szCs w:val="20"/>
          <w:lang w:eastAsia="es-ES"/>
        </w:rPr>
        <w:t>.</w:t>
      </w:r>
    </w:p>
    <w:p w:rsidR="006C03E0" w:rsidRPr="006C03E0" w:rsidRDefault="006C03E0" w:rsidP="006C03E0">
      <w:pPr>
        <w:widowControl w:val="0"/>
        <w:tabs>
          <w:tab w:val="left" w:pos="-2340"/>
        </w:tabs>
        <w:suppressAutoHyphens/>
        <w:spacing w:after="0" w:line="240" w:lineRule="auto"/>
        <w:ind w:left="600"/>
        <w:jc w:val="both"/>
        <w:rPr>
          <w:rFonts w:ascii="Tahoma" w:eastAsia="Times New Roman" w:hAnsi="Tahoma" w:cs="Tahoma"/>
          <w:sz w:val="20"/>
          <w:szCs w:val="20"/>
          <w:lang w:val="es-MX" w:eastAsia="es-ES"/>
        </w:rPr>
      </w:pPr>
    </w:p>
    <w:p w:rsidR="00D90D65" w:rsidRPr="006C03E0" w:rsidRDefault="00D90D65" w:rsidP="00D90D65">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D90D65">
        <w:rPr>
          <w:rFonts w:ascii="Tahoma" w:hAnsi="Tahoma" w:cs="Tahoma"/>
          <w:sz w:val="20"/>
          <w:szCs w:val="20"/>
        </w:rPr>
        <w:t>Dicha infracción se configura con la sola presentación de documentos falsos y/o inexactos ante la Entidad o el CONSUCODE (actualmente OSCE); es decir con la sola afectación del Principio de Presunción de Veracidad</w:t>
      </w:r>
      <w:r w:rsidRPr="00D90D65">
        <w:rPr>
          <w:rFonts w:ascii="Tahoma" w:hAnsi="Tahoma" w:cs="Tahoma"/>
          <w:sz w:val="20"/>
          <w:szCs w:val="20"/>
          <w:vertAlign w:val="superscript"/>
        </w:rPr>
        <w:footnoteReference w:id="2"/>
      </w:r>
      <w:r w:rsidRPr="00D90D65">
        <w:rPr>
          <w:rFonts w:ascii="Tahoma" w:hAnsi="Tahoma" w:cs="Tahoma"/>
          <w:sz w:val="20"/>
          <w:szCs w:val="20"/>
        </w:rPr>
        <w:t xml:space="preserve">, consagrado en el acápite 1.7 del Artículo IV del Título Preliminar de la Ley Nº 27444, sin que la norma exija otros factores adicionales, por cuanto </w:t>
      </w:r>
      <w:r w:rsidRPr="00D90D65">
        <w:rPr>
          <w:rFonts w:ascii="Tahoma" w:hAnsi="Tahoma" w:cs="Tahoma"/>
          <w:b/>
          <w:bCs/>
          <w:sz w:val="20"/>
          <w:szCs w:val="20"/>
        </w:rPr>
        <w:t>la Administración Pública presume que todos los documentos y declaraciones formuladas por los administrados responden a la verdad de los hechos que ellos afirman</w:t>
      </w:r>
      <w:r w:rsidRPr="00D90D65">
        <w:rPr>
          <w:rFonts w:ascii="Tahoma" w:hAnsi="Tahoma" w:cs="Tahoma"/>
          <w:sz w:val="20"/>
          <w:szCs w:val="20"/>
        </w:rPr>
        <w:t>.</w:t>
      </w:r>
    </w:p>
    <w:p w:rsidR="006C03E0" w:rsidRDefault="006C03E0" w:rsidP="006C03E0">
      <w:pPr>
        <w:pStyle w:val="Prrafodelista"/>
        <w:rPr>
          <w:rFonts w:ascii="Tahoma" w:hAnsi="Tahoma" w:cs="Tahoma"/>
          <w:sz w:val="20"/>
          <w:lang w:val="es-MX"/>
        </w:rPr>
      </w:pPr>
    </w:p>
    <w:p w:rsidR="00D90D65" w:rsidRPr="006C03E0" w:rsidRDefault="00D90D65" w:rsidP="006C03E0">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6C03E0">
        <w:rPr>
          <w:rFonts w:ascii="Tahoma" w:hAnsi="Tahoma" w:cs="Tahoma"/>
          <w:sz w:val="20"/>
          <w:szCs w:val="20"/>
        </w:rPr>
        <w:t xml:space="preserve">Asimismo, el artículo 42 de la Ley Nº 27444 establece que todas las declaraciones juradas, los documentos sucedáneos presentados y la información incluida en los escritos y formularios que presenten los administrados para la realización de procedimientos administrativos, </w:t>
      </w:r>
      <w:r w:rsidRPr="006C03E0">
        <w:rPr>
          <w:rFonts w:ascii="Tahoma" w:hAnsi="Tahoma" w:cs="Tahoma"/>
          <w:b/>
          <w:bCs/>
          <w:sz w:val="20"/>
          <w:szCs w:val="20"/>
        </w:rPr>
        <w:t xml:space="preserve">se presumen verificados por quien hace uso de ellos, así como de contenido veraz para fines del procedimiento </w:t>
      </w:r>
      <w:r w:rsidRPr="006C03E0">
        <w:rPr>
          <w:rFonts w:ascii="Tahoma" w:hAnsi="Tahoma" w:cs="Tahoma"/>
          <w:b/>
          <w:bCs/>
          <w:sz w:val="20"/>
          <w:szCs w:val="20"/>
        </w:rPr>
        <w:lastRenderedPageBreak/>
        <w:t>administrativo</w:t>
      </w:r>
      <w:r w:rsidRPr="006C03E0">
        <w:rPr>
          <w:rFonts w:ascii="Tahoma" w:hAnsi="Tahoma" w:cs="Tahoma"/>
          <w:sz w:val="20"/>
          <w:szCs w:val="20"/>
        </w:rPr>
        <w:t xml:space="preserve">. Sin embargo, esta presunción es de índole </w:t>
      </w:r>
      <w:r w:rsidRPr="006C03E0">
        <w:rPr>
          <w:rFonts w:ascii="Tahoma" w:hAnsi="Tahoma" w:cs="Tahoma"/>
          <w:i/>
          <w:iCs/>
          <w:sz w:val="20"/>
          <w:szCs w:val="20"/>
        </w:rPr>
        <w:t>juris tantum</w:t>
      </w:r>
      <w:r w:rsidRPr="006C03E0">
        <w:rPr>
          <w:rFonts w:ascii="Tahoma" w:hAnsi="Tahoma" w:cs="Tahoma"/>
          <w:sz w:val="20"/>
          <w:szCs w:val="20"/>
        </w:rPr>
        <w:t xml:space="preserve"> pues admite prueba en contrario, en la medida que es atribución de la Administración Pública verificar la documentación presentada cuando existen indicios suficientes de que la información consignada no se ajusta a los hechos.</w:t>
      </w:r>
    </w:p>
    <w:p w:rsidR="006C03E0" w:rsidRDefault="006C03E0" w:rsidP="006C03E0">
      <w:pPr>
        <w:pStyle w:val="Prrafodelista"/>
        <w:rPr>
          <w:rFonts w:ascii="Tahoma" w:hAnsi="Tahoma" w:cs="Tahoma"/>
          <w:sz w:val="20"/>
          <w:lang w:val="es-MX"/>
        </w:rPr>
      </w:pPr>
    </w:p>
    <w:p w:rsidR="00D90D65" w:rsidRPr="006C03E0" w:rsidRDefault="00D90D65" w:rsidP="006C03E0">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6C03E0">
        <w:rPr>
          <w:rFonts w:ascii="Tahoma" w:hAnsi="Tahoma" w:cs="Tahoma"/>
          <w:sz w:val="20"/>
          <w:szCs w:val="20"/>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6C03E0" w:rsidRDefault="006C03E0" w:rsidP="006C03E0">
      <w:pPr>
        <w:pStyle w:val="Prrafodelista"/>
        <w:rPr>
          <w:rFonts w:ascii="Tahoma" w:hAnsi="Tahoma" w:cs="Tahoma"/>
          <w:sz w:val="20"/>
          <w:lang w:val="es-MX"/>
        </w:rPr>
      </w:pPr>
    </w:p>
    <w:p w:rsidR="006C03E0" w:rsidRPr="006C03E0" w:rsidRDefault="00D90D65" w:rsidP="006C03E0">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6C03E0">
        <w:rPr>
          <w:rFonts w:ascii="Tahoma" w:hAnsi="Tahoma" w:cs="Tahoma"/>
          <w:sz w:val="20"/>
          <w:szCs w:val="20"/>
        </w:rPr>
        <w:t>Ahora bien, para la configuración del supuesto de presentación de documentación falsa, se requiere previamente acreditar su falsedad, esto es que el documento o los documentos cuestionados no hayan sido expedidos por el órgano o agente emisor o que, siendo válidamente expedidos, hayan sido adulterados en su contenido.</w:t>
      </w:r>
    </w:p>
    <w:p w:rsidR="006C03E0" w:rsidRDefault="006C03E0" w:rsidP="006C03E0">
      <w:pPr>
        <w:pStyle w:val="Prrafodelista"/>
        <w:rPr>
          <w:rFonts w:ascii="Tahoma" w:hAnsi="Tahoma" w:cs="Tahoma"/>
          <w:sz w:val="20"/>
        </w:rPr>
      </w:pPr>
    </w:p>
    <w:p w:rsidR="00D90D65" w:rsidRPr="006C03E0" w:rsidRDefault="00D90D65" w:rsidP="006C03E0">
      <w:pPr>
        <w:widowControl w:val="0"/>
        <w:tabs>
          <w:tab w:val="left" w:pos="-2340"/>
        </w:tabs>
        <w:suppressAutoHyphens/>
        <w:spacing w:after="0" w:line="240" w:lineRule="auto"/>
        <w:ind w:left="600"/>
        <w:jc w:val="both"/>
        <w:rPr>
          <w:rFonts w:ascii="Tahoma" w:eastAsia="Times New Roman" w:hAnsi="Tahoma" w:cs="Tahoma"/>
          <w:sz w:val="20"/>
          <w:szCs w:val="20"/>
          <w:lang w:val="es-MX" w:eastAsia="es-ES"/>
        </w:rPr>
      </w:pPr>
      <w:r w:rsidRPr="006C03E0">
        <w:rPr>
          <w:rFonts w:ascii="Tahoma" w:hAnsi="Tahoma" w:cs="Tahoma"/>
          <w:sz w:val="20"/>
          <w:szCs w:val="20"/>
        </w:rPr>
        <w:t xml:space="preserve">Mientras que la información inexacta se configura con la presentación de declaraciones no concordantes con la realidad, a </w:t>
      </w:r>
      <w:r w:rsidR="00823341">
        <w:rPr>
          <w:rFonts w:ascii="Tahoma" w:hAnsi="Tahoma" w:cs="Tahoma"/>
          <w:sz w:val="20"/>
          <w:szCs w:val="20"/>
        </w:rPr>
        <w:t>través del quebrantamiento de l</w:t>
      </w:r>
      <w:r w:rsidRPr="006C03E0">
        <w:rPr>
          <w:rFonts w:ascii="Tahoma" w:hAnsi="Tahoma" w:cs="Tahoma"/>
          <w:sz w:val="20"/>
          <w:szCs w:val="20"/>
        </w:rPr>
        <w:t>os principios de presunción de veracidad y moralidad que amparan a las referidas   declaraciones.</w:t>
      </w:r>
    </w:p>
    <w:p w:rsidR="006C03E0" w:rsidRDefault="006C03E0" w:rsidP="006C03E0">
      <w:pPr>
        <w:pStyle w:val="Prrafodelista"/>
        <w:rPr>
          <w:rFonts w:ascii="Tahoma" w:hAnsi="Tahoma" w:cs="Tahoma"/>
          <w:sz w:val="20"/>
          <w:lang w:val="es-MX"/>
        </w:rPr>
      </w:pPr>
    </w:p>
    <w:p w:rsidR="006C03E0" w:rsidRPr="00D90D65" w:rsidRDefault="006C03E0" w:rsidP="006C03E0">
      <w:pPr>
        <w:widowControl w:val="0"/>
        <w:tabs>
          <w:tab w:val="left" w:pos="-2340"/>
        </w:tabs>
        <w:suppressAutoHyphens/>
        <w:spacing w:line="240" w:lineRule="auto"/>
        <w:rPr>
          <w:rFonts w:ascii="Tahoma" w:eastAsia="Times New Roman" w:hAnsi="Tahoma" w:cs="Tahoma"/>
          <w:b/>
          <w:bCs/>
          <w:sz w:val="20"/>
          <w:szCs w:val="20"/>
          <w:u w:val="single"/>
          <w:lang w:val="es-MX" w:eastAsia="es-ES"/>
        </w:rPr>
      </w:pPr>
      <w:r w:rsidRPr="00D90D65">
        <w:rPr>
          <w:rFonts w:ascii="Tahoma" w:eastAsia="Times New Roman" w:hAnsi="Tahoma" w:cs="Tahoma"/>
          <w:sz w:val="20"/>
          <w:szCs w:val="20"/>
          <w:lang w:val="es-MX" w:eastAsia="es-ES"/>
        </w:rPr>
        <w:tab/>
      </w:r>
      <w:r w:rsidRPr="00D90D65">
        <w:rPr>
          <w:rFonts w:ascii="Tahoma" w:eastAsia="Times New Roman" w:hAnsi="Tahoma" w:cs="Tahoma"/>
          <w:b/>
          <w:bCs/>
          <w:sz w:val="20"/>
          <w:szCs w:val="20"/>
          <w:u w:val="single"/>
          <w:lang w:val="es-MX" w:eastAsia="es-ES"/>
        </w:rPr>
        <w:t>Análisis de los hechos</w:t>
      </w:r>
    </w:p>
    <w:p w:rsidR="00B13891" w:rsidRP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6C03E0">
        <w:rPr>
          <w:rFonts w:ascii="Tahoma" w:hAnsi="Tahoma" w:cs="Tahoma"/>
          <w:sz w:val="20"/>
          <w:szCs w:val="20"/>
        </w:rPr>
        <w:t>En el caso materia de análisis, la imputación contra el Postor está referida a la presentación de las Facturas Nº 001-00203 de fecha 16 de junio de 2008, girada a favor de la Municipalidad Provincial de Satipo, por el monto ascendente a S/. 42,695.74 Nuevos Soles y la Facturas Nº 001-0000180 de fecha 19 de mayo de 2008, emitida a nombre de la Municipalidad de Satipo, por el monto ascendente a S/. 43,144.12 Nuevos Soles,  documentos que serían falsos o inexactos.</w:t>
      </w:r>
    </w:p>
    <w:p w:rsidR="00B13891" w:rsidRDefault="00B13891" w:rsidP="00B13891">
      <w:pPr>
        <w:widowControl w:val="0"/>
        <w:tabs>
          <w:tab w:val="left" w:pos="-2340"/>
        </w:tabs>
        <w:suppressAutoHyphens/>
        <w:spacing w:after="0" w:line="240" w:lineRule="auto"/>
        <w:ind w:left="600"/>
        <w:jc w:val="both"/>
        <w:rPr>
          <w:rFonts w:ascii="Tahoma" w:eastAsia="Times New Roman" w:hAnsi="Tahoma" w:cs="Tahoma"/>
          <w:sz w:val="20"/>
          <w:szCs w:val="20"/>
          <w:lang w:val="es-MX" w:eastAsia="es-ES"/>
        </w:rPr>
      </w:pPr>
    </w:p>
    <w:p w:rsidR="00D90D65" w:rsidRP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B13891">
        <w:rPr>
          <w:rFonts w:ascii="Tahoma" w:hAnsi="Tahoma" w:cs="Tahoma"/>
          <w:sz w:val="20"/>
          <w:szCs w:val="20"/>
        </w:rPr>
        <w:t xml:space="preserve">En aplicación del </w:t>
      </w:r>
      <w:r w:rsidRPr="00B13891">
        <w:rPr>
          <w:rFonts w:ascii="Tahoma" w:hAnsi="Tahoma" w:cs="Tahoma"/>
          <w:i/>
          <w:iCs/>
          <w:sz w:val="20"/>
          <w:szCs w:val="20"/>
        </w:rPr>
        <w:t xml:space="preserve">Principio de Privilegio de Controles Posteriores, </w:t>
      </w:r>
      <w:r w:rsidRPr="00B13891">
        <w:rPr>
          <w:rFonts w:ascii="Tahoma" w:hAnsi="Tahoma" w:cs="Tahoma"/>
          <w:sz w:val="20"/>
          <w:szCs w:val="20"/>
        </w:rPr>
        <w:t>contemplado en el numeral 1.16 del Artículo IV del Título Preliminar de la Ley N.° 27444</w:t>
      </w:r>
      <w:r w:rsidRPr="00D90D65">
        <w:rPr>
          <w:rStyle w:val="Refdenotaalpie"/>
          <w:rFonts w:ascii="Tahoma" w:hAnsi="Tahoma" w:cs="Tahoma"/>
          <w:sz w:val="20"/>
          <w:szCs w:val="20"/>
        </w:rPr>
        <w:footnoteReference w:id="3"/>
      </w:r>
      <w:r w:rsidRPr="00B13891">
        <w:rPr>
          <w:rFonts w:ascii="Tahoma" w:hAnsi="Tahoma" w:cs="Tahoma"/>
          <w:sz w:val="20"/>
          <w:szCs w:val="20"/>
        </w:rPr>
        <w:t>,  la Entidad solicitó mediante Carta Nº 068-2010-GR-CUSCO-DRTCC-DA-OL y Nº 069-2010-GR-CUSCO-DRTCC-DA-OL del 07 de octubre de 2010 a la Municipalidad Provincial de Satipo, se sirva confirmar la autenticidad de las facturas Nº 001-0000203 y 0000180. Dicho requerimiento fue reiterado por la Entidad el 08 de noviembre de 2010.</w:t>
      </w:r>
    </w:p>
    <w:p w:rsidR="00B13891" w:rsidRDefault="00B13891" w:rsidP="00B13891">
      <w:pPr>
        <w:pStyle w:val="Prrafodelista"/>
        <w:rPr>
          <w:rFonts w:ascii="Tahoma" w:hAnsi="Tahoma" w:cs="Tahoma"/>
          <w:sz w:val="20"/>
          <w:lang w:val="es-MX"/>
        </w:rPr>
      </w:pPr>
    </w:p>
    <w:p w:rsid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B13891">
        <w:rPr>
          <w:rFonts w:ascii="Tahoma" w:hAnsi="Tahoma" w:cs="Tahoma"/>
          <w:sz w:val="20"/>
          <w:szCs w:val="20"/>
        </w:rPr>
        <w:t xml:space="preserve">En respuesta a dicho requerimiento, la Municipalidad Provincial de Satipo a través de la Carta Nº 76-2010-SGL/MPS  del 12 de noviembre de 2010, informó que las Facturas Nº </w:t>
      </w:r>
      <w:r w:rsidRPr="00B13891">
        <w:rPr>
          <w:rFonts w:ascii="Tahoma" w:eastAsia="Times New Roman" w:hAnsi="Tahoma" w:cs="Tahoma"/>
          <w:sz w:val="20"/>
          <w:szCs w:val="20"/>
          <w:lang w:val="es-ES_tradnl" w:eastAsia="es-ES"/>
        </w:rPr>
        <w:t xml:space="preserve">001-Nº 00203 </w:t>
      </w:r>
      <w:r w:rsidRPr="00B13891">
        <w:rPr>
          <w:rFonts w:ascii="Tahoma" w:hAnsi="Tahoma" w:cs="Tahoma"/>
          <w:sz w:val="20"/>
          <w:szCs w:val="20"/>
        </w:rPr>
        <w:t xml:space="preserve"> y </w:t>
      </w:r>
      <w:r w:rsidRPr="00B13891">
        <w:rPr>
          <w:rFonts w:ascii="Tahoma" w:eastAsia="Times New Roman" w:hAnsi="Tahoma" w:cs="Tahoma"/>
          <w:sz w:val="20"/>
          <w:szCs w:val="20"/>
          <w:lang w:val="es-ES_tradnl" w:eastAsia="es-ES"/>
        </w:rPr>
        <w:t xml:space="preserve">Nº 0000180 </w:t>
      </w:r>
      <w:r w:rsidRPr="00B13891">
        <w:rPr>
          <w:rFonts w:ascii="Tahoma" w:hAnsi="Tahoma" w:cs="Tahoma"/>
          <w:sz w:val="20"/>
          <w:szCs w:val="20"/>
        </w:rPr>
        <w:t xml:space="preserve"> de fechas </w:t>
      </w:r>
      <w:r w:rsidRPr="00B13891">
        <w:rPr>
          <w:rFonts w:ascii="Tahoma" w:eastAsia="Times New Roman" w:hAnsi="Tahoma" w:cs="Tahoma"/>
          <w:sz w:val="20"/>
          <w:szCs w:val="20"/>
          <w:lang w:val="es-ES_tradnl" w:eastAsia="es-ES"/>
        </w:rPr>
        <w:t xml:space="preserve">16 de junio de 2008 </w:t>
      </w:r>
      <w:r w:rsidRPr="00B13891">
        <w:rPr>
          <w:rFonts w:ascii="Tahoma" w:hAnsi="Tahoma" w:cs="Tahoma"/>
          <w:sz w:val="20"/>
          <w:szCs w:val="20"/>
        </w:rPr>
        <w:t xml:space="preserve">y </w:t>
      </w:r>
      <w:r w:rsidRPr="00B13891">
        <w:rPr>
          <w:rFonts w:ascii="Tahoma" w:eastAsia="Times New Roman" w:hAnsi="Tahoma" w:cs="Tahoma"/>
          <w:sz w:val="20"/>
          <w:szCs w:val="20"/>
          <w:lang w:val="es-ES_tradnl" w:eastAsia="es-ES"/>
        </w:rPr>
        <w:t>19 de mayo de 2008</w:t>
      </w:r>
      <w:r w:rsidRPr="00B13891">
        <w:rPr>
          <w:rFonts w:ascii="Tahoma" w:hAnsi="Tahoma" w:cs="Tahoma"/>
          <w:sz w:val="20"/>
          <w:szCs w:val="20"/>
        </w:rPr>
        <w:t xml:space="preserve">, respectivamente, </w:t>
      </w:r>
      <w:r w:rsidRPr="00B13891">
        <w:rPr>
          <w:rFonts w:ascii="Tahoma" w:hAnsi="Tahoma" w:cs="Tahoma"/>
          <w:b/>
          <w:bCs/>
          <w:sz w:val="20"/>
          <w:szCs w:val="20"/>
        </w:rPr>
        <w:t>“</w:t>
      </w:r>
      <w:r w:rsidRPr="00B13891">
        <w:rPr>
          <w:rFonts w:ascii="Tahoma" w:hAnsi="Tahoma" w:cs="Tahoma"/>
          <w:b/>
          <w:bCs/>
          <w:i/>
          <w:iCs/>
          <w:sz w:val="20"/>
          <w:szCs w:val="20"/>
        </w:rPr>
        <w:t>no se encuentran registradas en los archivos de esta comuna” (…) “En tal sentido, se niega la autenticidad de los citados documentos”</w:t>
      </w:r>
      <w:r w:rsidRPr="00B13891">
        <w:rPr>
          <w:rFonts w:ascii="Tahoma" w:hAnsi="Tahoma" w:cs="Tahoma"/>
          <w:sz w:val="20"/>
          <w:szCs w:val="20"/>
        </w:rPr>
        <w:t>.</w:t>
      </w:r>
    </w:p>
    <w:p w:rsidR="00B13891" w:rsidRDefault="00B13891" w:rsidP="00B13891">
      <w:pPr>
        <w:pStyle w:val="Prrafodelista"/>
        <w:rPr>
          <w:rFonts w:ascii="Tahoma" w:hAnsi="Tahoma" w:cs="Tahoma"/>
          <w:sz w:val="20"/>
        </w:rPr>
      </w:pPr>
    </w:p>
    <w:p w:rsidR="00B13891" w:rsidRP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B13891">
        <w:rPr>
          <w:rFonts w:ascii="Tahoma" w:hAnsi="Tahoma" w:cs="Tahoma"/>
          <w:sz w:val="20"/>
          <w:szCs w:val="20"/>
        </w:rPr>
        <w:t xml:space="preserve">Dicha aseveración emitida por el supuesto emisor, mediante la cual negó la autenticidad de los citados documentos,  constituye prueba suficiente que permite desvirtuar el principio de Presunción de Veracidad que rige a los procedimientos </w:t>
      </w:r>
      <w:r w:rsidRPr="00B13891">
        <w:rPr>
          <w:rFonts w:ascii="Tahoma" w:hAnsi="Tahoma" w:cs="Tahoma"/>
          <w:sz w:val="20"/>
          <w:szCs w:val="20"/>
        </w:rPr>
        <w:lastRenderedPageBreak/>
        <w:t>administrativos, criterio que ha sido adoptado en reiterados pronunciamientos de este Tribunal</w:t>
      </w:r>
      <w:r w:rsidR="00B13891">
        <w:rPr>
          <w:rFonts w:ascii="Tahoma" w:hAnsi="Tahoma" w:cs="Tahoma"/>
          <w:sz w:val="20"/>
          <w:szCs w:val="20"/>
        </w:rPr>
        <w:t>.</w:t>
      </w:r>
    </w:p>
    <w:p w:rsidR="00B13891" w:rsidRDefault="00B13891" w:rsidP="00B13891">
      <w:pPr>
        <w:pStyle w:val="Prrafodelista"/>
        <w:rPr>
          <w:rFonts w:ascii="Tahoma" w:hAnsi="Tahoma" w:cs="Tahoma"/>
          <w:sz w:val="20"/>
        </w:rPr>
      </w:pPr>
    </w:p>
    <w:p w:rsid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B13891">
        <w:rPr>
          <w:rFonts w:ascii="Tahoma" w:hAnsi="Tahoma" w:cs="Tahoma"/>
          <w:sz w:val="20"/>
          <w:szCs w:val="20"/>
        </w:rPr>
        <w:t>En ejercicio de su derecho defensa,  el Postor señaló que dichas facturas fueron emitidas erróneamente,  razón por la cual fueron en su oportunidad anuladas. Adicionalmente a ello, el citado Postor ha señalado que dichas Facturas fueron incluidas en su propuesta técnica, debido al error del Contador encargado de proporcionar la documentación necesaria para acreditar experiencia y así  presentarse al proceso de selección.</w:t>
      </w:r>
    </w:p>
    <w:p w:rsidR="00B13891" w:rsidRDefault="00B13891" w:rsidP="00B13891">
      <w:pPr>
        <w:pStyle w:val="Prrafodelista"/>
        <w:rPr>
          <w:rFonts w:ascii="Tahoma" w:hAnsi="Tahoma" w:cs="Tahoma"/>
          <w:sz w:val="20"/>
        </w:rPr>
      </w:pPr>
    </w:p>
    <w:p w:rsid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B13891">
        <w:rPr>
          <w:rFonts w:ascii="Tahoma" w:hAnsi="Tahoma" w:cs="Tahoma"/>
          <w:sz w:val="20"/>
          <w:szCs w:val="20"/>
        </w:rPr>
        <w:t xml:space="preserve">Teniendo en cuenta todo lo expuesto, este Colegiado concluye que las Facturas Nº 0000203 y 0000180 que presentó la empresa CPR INTER TRADING CORP S.A.C. son inexactas, puesto que son documentos que fueron anulados antes de su participación en el proceso de selección, tal como ha reconocido expresamente. </w:t>
      </w:r>
    </w:p>
    <w:p w:rsidR="00B13891" w:rsidRDefault="00B13891" w:rsidP="00B13891">
      <w:pPr>
        <w:pStyle w:val="Prrafodelista"/>
        <w:rPr>
          <w:rFonts w:ascii="Tahoma" w:hAnsi="Tahoma" w:cs="Tahoma"/>
          <w:sz w:val="20"/>
        </w:rPr>
      </w:pPr>
    </w:p>
    <w:p w:rsid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B13891">
        <w:rPr>
          <w:rFonts w:ascii="Tahoma" w:hAnsi="Tahoma" w:cs="Tahoma"/>
          <w:sz w:val="20"/>
          <w:szCs w:val="20"/>
        </w:rPr>
        <w:t>Cabe señalar que el hecho de que el mencionado postor no haya advertido que las copias presentadas correspondían a facturas anuladas y/o cambiadas anteriormente no justifica la infracción cometida, sino que, por el contrario, refleja su actuación negligente al no haber verificado la documentación que adjuntó en su propuesta.  A esto se suma que en virtud de la presentación de dichas facturas, el Postor incrementó su volumen de ventas, lo que denotaría intencionalidad de su parte, inclusive.</w:t>
      </w:r>
    </w:p>
    <w:p w:rsidR="00B13891" w:rsidRDefault="00B13891" w:rsidP="00B13891">
      <w:pPr>
        <w:pStyle w:val="Prrafodelista"/>
        <w:rPr>
          <w:rFonts w:ascii="Tahoma" w:hAnsi="Tahoma" w:cs="Tahoma"/>
          <w:sz w:val="20"/>
        </w:rPr>
      </w:pPr>
    </w:p>
    <w:p w:rsid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B13891">
        <w:rPr>
          <w:rFonts w:ascii="Tahoma" w:hAnsi="Tahoma" w:cs="Tahoma"/>
          <w:sz w:val="20"/>
          <w:szCs w:val="20"/>
        </w:rPr>
        <w:t>No debe perderse de vista además, que de acuerdo con el inciso 1) del artículo 56 de la Ley Nº 27444, los administrados tienen el deber de abstenerse de declarar hechos contrarios a la verdad o no confirmados como si fueran fehacientes.</w:t>
      </w:r>
    </w:p>
    <w:p w:rsidR="00B13891" w:rsidRDefault="00B13891" w:rsidP="00B13891">
      <w:pPr>
        <w:pStyle w:val="Prrafodelista"/>
        <w:rPr>
          <w:rFonts w:ascii="Tahoma" w:hAnsi="Tahoma" w:cs="Tahoma"/>
          <w:sz w:val="20"/>
        </w:rPr>
      </w:pPr>
    </w:p>
    <w:p w:rsidR="002162C1" w:rsidRPr="002162C1" w:rsidRDefault="002162C1" w:rsidP="002162C1">
      <w:pPr>
        <w:numPr>
          <w:ilvl w:val="0"/>
          <w:numId w:val="7"/>
        </w:numPr>
        <w:tabs>
          <w:tab w:val="num" w:pos="567"/>
        </w:tabs>
        <w:spacing w:after="0" w:line="240" w:lineRule="auto"/>
        <w:ind w:left="567" w:hanging="567"/>
        <w:jc w:val="both"/>
        <w:rPr>
          <w:rFonts w:ascii="Tahoma" w:hAnsi="Tahoma" w:cs="Tahoma"/>
          <w:sz w:val="20"/>
          <w:szCs w:val="20"/>
        </w:rPr>
      </w:pPr>
      <w:r w:rsidRPr="002162C1">
        <w:rPr>
          <w:rFonts w:ascii="Tahoma" w:hAnsi="Tahoma" w:cs="Tahoma"/>
          <w:sz w:val="20"/>
          <w:szCs w:val="20"/>
        </w:rPr>
        <w:t>Adicionalmente, debe indicarse que si bien es cierto, el Postor ha presentado la copia de su libro de Registro de Ventas, en el cual se evidencia que las facturas cuestionadas han sido registradas como anuladas, también ha remitido copia de las Facturas Nº 00180 y Nº 203, emitidas a nombre de la Municipalidad de Satipo con sellos de fecha de cancelación, contradiciéndose de esta manera con la indicado en la Constancia de fecha 15 de febrero de 2011, en la cual la empresa W.J. COMPANY CENTER S.A.C. aseveró que dichos documentos obedecían a cotizaciones realizadas entre ambas empresas, los cuales no obran en el expediente administrativo.</w:t>
      </w:r>
    </w:p>
    <w:p w:rsidR="002162C1" w:rsidRPr="002162C1" w:rsidRDefault="002162C1" w:rsidP="002162C1">
      <w:pPr>
        <w:pStyle w:val="Prrafodelista"/>
        <w:jc w:val="both"/>
        <w:rPr>
          <w:rFonts w:ascii="Tahoma" w:hAnsi="Tahoma" w:cs="Tahoma"/>
          <w:sz w:val="20"/>
          <w:highlight w:val="yellow"/>
        </w:rPr>
      </w:pPr>
    </w:p>
    <w:p w:rsidR="002162C1" w:rsidRPr="002162C1" w:rsidRDefault="002162C1" w:rsidP="002162C1">
      <w:pPr>
        <w:spacing w:line="240" w:lineRule="auto"/>
        <w:ind w:left="567"/>
        <w:jc w:val="both"/>
        <w:rPr>
          <w:rFonts w:ascii="Tahoma" w:hAnsi="Tahoma" w:cs="Tahoma"/>
          <w:sz w:val="20"/>
          <w:szCs w:val="20"/>
        </w:rPr>
      </w:pPr>
      <w:r w:rsidRPr="002162C1">
        <w:rPr>
          <w:rFonts w:ascii="Tahoma" w:hAnsi="Tahoma" w:cs="Tahoma"/>
          <w:sz w:val="20"/>
          <w:szCs w:val="20"/>
        </w:rPr>
        <w:t>En ese sentido, aún cuando el Postor ha sostenido dicha argumentación, no ha aportado pruebas objetivas que sustenten su afirmación; es decir, no ha remitido el original de las facturas acreditando dicha documentación, en la cual, la emisión se haya realizado a nombre del cotizante, empresa W.J. COMPANY CENTER S.A.C. y no a nombre de la Municipalidad de Satipo</w:t>
      </w:r>
      <w:r w:rsidRPr="002162C1">
        <w:rPr>
          <w:rStyle w:val="Refdenotaalpie"/>
          <w:rFonts w:ascii="Tahoma" w:hAnsi="Tahoma" w:cs="Tahoma"/>
          <w:sz w:val="20"/>
          <w:szCs w:val="20"/>
        </w:rPr>
        <w:footnoteReference w:id="4"/>
      </w:r>
      <w:r w:rsidRPr="002162C1">
        <w:rPr>
          <w:rFonts w:ascii="Tahoma" w:hAnsi="Tahoma" w:cs="Tahoma"/>
          <w:sz w:val="20"/>
          <w:szCs w:val="20"/>
        </w:rPr>
        <w:t>; máxime si  se tiene en cuenta que es el mismo Postor quién conserva en su acervo dicha documentación.</w:t>
      </w:r>
    </w:p>
    <w:p w:rsidR="00D90D65" w:rsidRPr="00B13891" w:rsidRDefault="00D90D65" w:rsidP="00B13891">
      <w:pPr>
        <w:widowControl w:val="0"/>
        <w:numPr>
          <w:ilvl w:val="0"/>
          <w:numId w:val="7"/>
        </w:numPr>
        <w:tabs>
          <w:tab w:val="left" w:pos="-2340"/>
          <w:tab w:val="num" w:pos="567"/>
        </w:tabs>
        <w:suppressAutoHyphens/>
        <w:spacing w:after="0" w:line="240" w:lineRule="auto"/>
        <w:ind w:left="600" w:hanging="567"/>
        <w:jc w:val="both"/>
        <w:rPr>
          <w:rFonts w:ascii="Tahoma" w:eastAsia="Times New Roman" w:hAnsi="Tahoma" w:cs="Tahoma"/>
          <w:sz w:val="20"/>
          <w:szCs w:val="20"/>
          <w:lang w:val="es-MX" w:eastAsia="es-ES"/>
        </w:rPr>
      </w:pPr>
      <w:r w:rsidRPr="00B13891">
        <w:rPr>
          <w:rFonts w:ascii="Tahoma" w:hAnsi="Tahoma" w:cs="Tahoma"/>
          <w:sz w:val="20"/>
          <w:szCs w:val="20"/>
        </w:rPr>
        <w:t>Habida cuenta lo anterior, este Colegiado concluye que las facturas mencionadas son inexactas, toda vez que fueron ulteriormente anuladas; razón por la cual corresponde sancionar al Postor por los hechos denunciados.</w:t>
      </w:r>
    </w:p>
    <w:p w:rsidR="00744DF3" w:rsidRDefault="00744DF3" w:rsidP="00D90D65">
      <w:pPr>
        <w:spacing w:line="240" w:lineRule="auto"/>
        <w:ind w:left="567"/>
        <w:rPr>
          <w:rFonts w:ascii="Tahoma" w:hAnsi="Tahoma" w:cs="Tahoma"/>
          <w:b/>
          <w:bCs/>
          <w:sz w:val="20"/>
          <w:szCs w:val="20"/>
          <w:u w:val="single"/>
        </w:rPr>
      </w:pPr>
    </w:p>
    <w:p w:rsidR="00744DF3" w:rsidRDefault="00744DF3" w:rsidP="00D90D65">
      <w:pPr>
        <w:spacing w:line="240" w:lineRule="auto"/>
        <w:ind w:left="567"/>
        <w:rPr>
          <w:rFonts w:ascii="Tahoma" w:hAnsi="Tahoma" w:cs="Tahoma"/>
          <w:b/>
          <w:bCs/>
          <w:sz w:val="20"/>
          <w:szCs w:val="20"/>
          <w:u w:val="single"/>
        </w:rPr>
      </w:pPr>
    </w:p>
    <w:p w:rsidR="00D90D65" w:rsidRPr="00D90D65" w:rsidRDefault="00D90D65" w:rsidP="00D90D65">
      <w:pPr>
        <w:spacing w:line="240" w:lineRule="auto"/>
        <w:ind w:left="567"/>
        <w:rPr>
          <w:rFonts w:ascii="Tahoma" w:hAnsi="Tahoma" w:cs="Tahoma"/>
          <w:b/>
          <w:bCs/>
          <w:sz w:val="20"/>
          <w:szCs w:val="20"/>
          <w:u w:val="single"/>
        </w:rPr>
      </w:pPr>
      <w:r w:rsidRPr="00D90D65">
        <w:rPr>
          <w:rFonts w:ascii="Tahoma" w:hAnsi="Tahoma" w:cs="Tahoma"/>
          <w:b/>
          <w:bCs/>
          <w:sz w:val="20"/>
          <w:szCs w:val="20"/>
          <w:u w:val="single"/>
        </w:rPr>
        <w:lastRenderedPageBreak/>
        <w:t>Respecto de la Sanción a imponerse</w:t>
      </w:r>
    </w:p>
    <w:p w:rsid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D90D65">
        <w:rPr>
          <w:rFonts w:ascii="Tahoma" w:hAnsi="Tahoma" w:cs="Tahoma"/>
          <w:sz w:val="20"/>
          <w:szCs w:val="20"/>
        </w:rPr>
        <w:t>Así, pues</w:t>
      </w:r>
      <w:r w:rsidRPr="00D90D65">
        <w:rPr>
          <w:rFonts w:ascii="Tahoma" w:hAnsi="Tahoma" w:cs="Tahoma"/>
          <w:sz w:val="20"/>
          <w:szCs w:val="20"/>
          <w:lang w:val="es-MX"/>
        </w:rPr>
        <w:t xml:space="preserve">, </w:t>
      </w:r>
      <w:r w:rsidRPr="00D90D65">
        <w:rPr>
          <w:rFonts w:ascii="Tahoma" w:hAnsi="Tahoma" w:cs="Tahoma"/>
          <w:sz w:val="20"/>
          <w:szCs w:val="20"/>
        </w:rPr>
        <w:t>ha quedado acreditado que la información plasmada en las facturas en cuestión no corresponde a la realidad y,</w:t>
      </w:r>
      <w:r w:rsidRPr="00D90D65">
        <w:rPr>
          <w:rFonts w:ascii="Tahoma" w:hAnsi="Tahoma" w:cs="Tahoma"/>
          <w:sz w:val="20"/>
          <w:szCs w:val="20"/>
          <w:lang w:val="es-MX"/>
        </w:rPr>
        <w:t xml:space="preserve"> e</w:t>
      </w:r>
      <w:r w:rsidRPr="00D90D65">
        <w:rPr>
          <w:rFonts w:ascii="Tahoma" w:hAnsi="Tahoma" w:cs="Tahoma"/>
          <w:sz w:val="20"/>
          <w:szCs w:val="20"/>
        </w:rPr>
        <w:t xml:space="preserve">n consecuencia, la conducta del Postor supone una trasgresión del </w:t>
      </w:r>
      <w:r w:rsidRPr="00D90D65">
        <w:rPr>
          <w:rFonts w:ascii="Tahoma" w:hAnsi="Tahoma" w:cs="Tahoma"/>
          <w:i/>
          <w:iCs/>
          <w:sz w:val="20"/>
          <w:szCs w:val="20"/>
        </w:rPr>
        <w:t>Principio de Presunción de Veracidad</w:t>
      </w:r>
      <w:r w:rsidRPr="00D90D65">
        <w:rPr>
          <w:rFonts w:ascii="Tahoma" w:hAnsi="Tahoma" w:cs="Tahoma"/>
          <w:sz w:val="20"/>
          <w:szCs w:val="20"/>
        </w:rPr>
        <w:t>, a que se contrae el numeral 3 de la presente Fundamentación, en vista que, si bien a través de dicho principio la Administración Pública se encuentra en el deber de presumir como veraces los documentos presentados por el administrado, esta situación ha quedado desvirtuada desde el momento en que se ha constatado la inexactitud de los datos contenidos en las facturas.</w:t>
      </w:r>
    </w:p>
    <w:p w:rsidR="00B13891" w:rsidRPr="00B13891" w:rsidRDefault="00B13891" w:rsidP="00B13891">
      <w:pPr>
        <w:spacing w:after="0" w:line="240" w:lineRule="auto"/>
        <w:ind w:left="567"/>
        <w:jc w:val="both"/>
        <w:rPr>
          <w:rFonts w:ascii="Tahoma" w:hAnsi="Tahoma" w:cs="Tahoma"/>
          <w:b/>
          <w:bCs/>
          <w:i/>
          <w:iCs/>
          <w:sz w:val="20"/>
          <w:szCs w:val="20"/>
        </w:rPr>
      </w:pPr>
    </w:p>
    <w:p w:rsid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B13891">
        <w:rPr>
          <w:rFonts w:ascii="Tahoma" w:hAnsi="Tahoma" w:cs="Tahoma"/>
          <w:sz w:val="20"/>
          <w:szCs w:val="20"/>
          <w:lang w:val="es-MX"/>
        </w:rPr>
        <w:t xml:space="preserve">Por consiguiente, este Colegiado concluye que </w:t>
      </w:r>
      <w:r w:rsidRPr="00B13891">
        <w:rPr>
          <w:rFonts w:ascii="Tahoma" w:hAnsi="Tahoma" w:cs="Tahoma"/>
          <w:sz w:val="20"/>
          <w:szCs w:val="20"/>
        </w:rPr>
        <w:t xml:space="preserve">la conducta desarrollada por el Postor califica dentro del supuesto de hecho de la infracción tipificada en el </w:t>
      </w:r>
      <w:r w:rsidRPr="00B13891">
        <w:rPr>
          <w:rFonts w:ascii="Tahoma" w:hAnsi="Tahoma" w:cs="Tahoma"/>
          <w:spacing w:val="-2"/>
          <w:sz w:val="20"/>
          <w:szCs w:val="20"/>
        </w:rPr>
        <w:t xml:space="preserve">literal i) del numeral 51.1 del artículo 51 de la Ley </w:t>
      </w:r>
      <w:r w:rsidRPr="00B13891">
        <w:rPr>
          <w:rFonts w:ascii="Tahoma" w:hAnsi="Tahoma" w:cs="Tahoma"/>
          <w:sz w:val="20"/>
          <w:szCs w:val="20"/>
        </w:rPr>
        <w:t xml:space="preserve">y en el literal i) del numeral 1 del artículo 237 de su Reglamento, en cuyo mérito corresponde imponer una sanción administrativa de inhabilitación para ser postor y contratar con el Estado por un periodo no menor de uno (1) año ni mayor de tres (3) años, </w:t>
      </w:r>
      <w:r w:rsidRPr="00B13891">
        <w:rPr>
          <w:rFonts w:ascii="Tahoma" w:hAnsi="Tahoma" w:cs="Tahoma"/>
          <w:sz w:val="20"/>
          <w:szCs w:val="20"/>
          <w:lang w:val="es-MX"/>
        </w:rPr>
        <w:t xml:space="preserve">conforme a los criterios </w:t>
      </w:r>
      <w:r w:rsidRPr="00B13891">
        <w:rPr>
          <w:rFonts w:ascii="Tahoma" w:hAnsi="Tahoma" w:cs="Tahoma"/>
          <w:sz w:val="20"/>
          <w:szCs w:val="20"/>
        </w:rPr>
        <w:t>para la determinación gradual de la sanción previstos en el artículo 245</w:t>
      </w:r>
      <w:r w:rsidRPr="00D90D65">
        <w:rPr>
          <w:rFonts w:ascii="Tahoma" w:hAnsi="Tahoma" w:cs="Tahoma"/>
          <w:sz w:val="20"/>
          <w:szCs w:val="20"/>
          <w:vertAlign w:val="superscript"/>
        </w:rPr>
        <w:footnoteReference w:id="5"/>
      </w:r>
      <w:r w:rsidRPr="00B13891">
        <w:rPr>
          <w:rFonts w:ascii="Tahoma" w:hAnsi="Tahoma" w:cs="Tahoma"/>
          <w:sz w:val="20"/>
          <w:szCs w:val="20"/>
        </w:rPr>
        <w:t xml:space="preserve"> del Reglamento.</w:t>
      </w:r>
    </w:p>
    <w:p w:rsidR="00B13891" w:rsidRDefault="00B13891" w:rsidP="00B13891">
      <w:pPr>
        <w:pStyle w:val="Prrafodelista"/>
        <w:rPr>
          <w:rFonts w:ascii="Tahoma" w:hAnsi="Tahoma" w:cs="Tahoma"/>
          <w:sz w:val="20"/>
        </w:rPr>
      </w:pPr>
    </w:p>
    <w:p w:rsid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B13891">
        <w:rPr>
          <w:rFonts w:ascii="Tahoma" w:hAnsi="Tahoma" w:cs="Tahoma"/>
          <w:sz w:val="20"/>
          <w:szCs w:val="20"/>
        </w:rPr>
        <w:t xml:space="preserve">Además, debe tenerse en cuenta que de acuerdo al </w:t>
      </w:r>
      <w:r w:rsidRPr="00B13891">
        <w:rPr>
          <w:rFonts w:ascii="Tahoma" w:hAnsi="Tahoma" w:cs="Tahoma"/>
          <w:i/>
          <w:iCs/>
          <w:sz w:val="20"/>
          <w:szCs w:val="20"/>
        </w:rPr>
        <w:t>Principio de Razonabilidad</w:t>
      </w:r>
      <w:r w:rsidRPr="00B13891">
        <w:rPr>
          <w:rFonts w:ascii="Tahoma" w:hAnsi="Tahoma" w:cs="Tahoma"/>
          <w:sz w:val="20"/>
          <w:szCs w:val="20"/>
        </w:rPr>
        <w:t>,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B13891" w:rsidRDefault="00B13891" w:rsidP="00B13891">
      <w:pPr>
        <w:pStyle w:val="Prrafodelista"/>
        <w:rPr>
          <w:rFonts w:ascii="Tahoma" w:hAnsi="Tahoma" w:cs="Tahoma"/>
          <w:sz w:val="20"/>
        </w:rPr>
      </w:pPr>
    </w:p>
    <w:p w:rsid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B13891">
        <w:rPr>
          <w:rFonts w:ascii="Tahoma" w:hAnsi="Tahoma" w:cs="Tahoma"/>
          <w:sz w:val="20"/>
          <w:szCs w:val="20"/>
        </w:rPr>
        <w:t xml:space="preserve">Bajo las premisas anotadas debe considerarse la naturaleza de la infracción que, en este caso está referidas a la presentación de dos (2) facturas inexactas, los cuales fueron entregados por el Postor para acreditar su volumen de ventas (experiencia del postor). Asimismo, debe tenerse en cuenta que la infracción cometida, reviste gravedad, debido a la vulneración del </w:t>
      </w:r>
      <w:r w:rsidRPr="00B13891">
        <w:rPr>
          <w:rFonts w:ascii="Tahoma" w:hAnsi="Tahoma" w:cs="Tahoma"/>
          <w:i/>
          <w:iCs/>
          <w:sz w:val="20"/>
          <w:szCs w:val="20"/>
        </w:rPr>
        <w:t>Principio de Moralidad</w:t>
      </w:r>
      <w:r w:rsidRPr="00B13891">
        <w:rPr>
          <w:rFonts w:ascii="Tahoma" w:hAnsi="Tahoma" w:cs="Tahoma"/>
          <w:sz w:val="20"/>
          <w:szCs w:val="20"/>
        </w:rPr>
        <w:t xml:space="preserve"> que debe regir todos los actos vinculados a las contrataciones públicas y que, junto a la fe pública, constituyen bienes jurídicos merecedores de protección especial, pues son los pilares que sostienen las relaciones entre la Administración Pública y los administrados.</w:t>
      </w:r>
    </w:p>
    <w:p w:rsidR="00B13891" w:rsidRDefault="00B13891" w:rsidP="00B13891">
      <w:pPr>
        <w:pStyle w:val="Prrafodelista"/>
        <w:rPr>
          <w:rFonts w:ascii="Tahoma" w:hAnsi="Tahoma" w:cs="Tahoma"/>
          <w:sz w:val="20"/>
        </w:rPr>
      </w:pPr>
    </w:p>
    <w:p w:rsid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B13891">
        <w:rPr>
          <w:rFonts w:ascii="Tahoma" w:hAnsi="Tahoma" w:cs="Tahoma"/>
          <w:sz w:val="20"/>
          <w:szCs w:val="20"/>
        </w:rPr>
        <w:t>Adicionalmente, en lo que atañe a la conducta procesal del infractor durante la sustanciación del presente procedimiento administrativo sancionador, es necesario tener presente que el Postor se ha apersonado a la instancia y presentado sus descargos, aunque no ha reconocido la comisión de la infracción imputada.</w:t>
      </w:r>
    </w:p>
    <w:p w:rsidR="00B13891" w:rsidRDefault="00B13891" w:rsidP="00B13891">
      <w:pPr>
        <w:pStyle w:val="Prrafodelista"/>
        <w:rPr>
          <w:rFonts w:ascii="Tahoma" w:hAnsi="Tahoma" w:cs="Tahoma"/>
          <w:sz w:val="20"/>
        </w:rPr>
      </w:pPr>
    </w:p>
    <w:p w:rsid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B13891">
        <w:rPr>
          <w:rFonts w:ascii="Tahoma" w:hAnsi="Tahoma" w:cs="Tahoma"/>
          <w:sz w:val="20"/>
          <w:szCs w:val="20"/>
        </w:rPr>
        <w:t>También es necesario que este Tribunal preste atención al daño causado y a la intencionalidad del infractor.  Así pues, debe tenerse en cuenta que aunque este último criterio constituye un factor subjetivo que se dirige a mediar el nivel de participación de la voluntad del agente en la comisión del ilícito, toda vez que resulta materialmente imposible que su probanza repose, en estricto, sobre la base de un medio probatorio objetivo, basta tomar en consideración una serie de hechos ciertos que permitan inferir claramente que existió voluntad de parte del infractor en la comisión del ilícito administrativo, sea porque quiso obtener provecho propio o sea porque, quiso causar algún tipo de daño. En el caso concreto, tenemos que la presentación de los documentos inexactos tenía por finalidad acreditar mayor volumen de ventas.</w:t>
      </w:r>
    </w:p>
    <w:p w:rsidR="00B13891" w:rsidRDefault="00B13891" w:rsidP="00B13891">
      <w:pPr>
        <w:pStyle w:val="Prrafodelista"/>
        <w:rPr>
          <w:rFonts w:ascii="Tahoma" w:hAnsi="Tahoma" w:cs="Tahoma"/>
          <w:sz w:val="20"/>
        </w:rPr>
      </w:pPr>
    </w:p>
    <w:p w:rsid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B13891">
        <w:rPr>
          <w:rFonts w:ascii="Tahoma" w:hAnsi="Tahoma" w:cs="Tahoma"/>
          <w:sz w:val="20"/>
          <w:szCs w:val="20"/>
        </w:rPr>
        <w:t>Por otro lado, no puede dejar de valorarse a favor del Postor que carece de antecedentes al no haber sido inhabilitado anteriormente para participar en procesos de selección y contratar con el Estado y el monto del proceso de selección (S/. 21,055.00)  en cuyo marco se cometió la infracción.</w:t>
      </w:r>
    </w:p>
    <w:p w:rsidR="00B13891" w:rsidRDefault="00B13891" w:rsidP="00B13891">
      <w:pPr>
        <w:pStyle w:val="Prrafodelista"/>
        <w:rPr>
          <w:rFonts w:ascii="Tahoma" w:hAnsi="Tahoma" w:cs="Tahoma"/>
          <w:sz w:val="20"/>
        </w:rPr>
      </w:pPr>
    </w:p>
    <w:p w:rsid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B13891">
        <w:rPr>
          <w:rFonts w:ascii="Tahoma" w:hAnsi="Tahoma" w:cs="Tahoma"/>
          <w:sz w:val="20"/>
          <w:szCs w:val="20"/>
        </w:rPr>
        <w:t>Consecuentemente, en virtud a los criterios expuestos, este Colegiado considera que corresponde imponer a la empresa C.P.R. TRADING CORP S.A.C. una sanción equivalente a doce (12) meses de inhabilitación temporal para participar en procesos de selección y para contratar con el Estado.</w:t>
      </w:r>
    </w:p>
    <w:p w:rsidR="00B13891" w:rsidRDefault="00B13891" w:rsidP="00B13891">
      <w:pPr>
        <w:pStyle w:val="Prrafodelista"/>
        <w:rPr>
          <w:rFonts w:ascii="Tahoma" w:hAnsi="Tahoma" w:cs="Tahoma"/>
          <w:sz w:val="20"/>
        </w:rPr>
      </w:pPr>
    </w:p>
    <w:p w:rsidR="00D90D65" w:rsidRPr="00B13891" w:rsidRDefault="00D90D65" w:rsidP="00B13891">
      <w:pPr>
        <w:numPr>
          <w:ilvl w:val="0"/>
          <w:numId w:val="7"/>
        </w:numPr>
        <w:tabs>
          <w:tab w:val="num" w:pos="567"/>
        </w:tabs>
        <w:spacing w:after="0" w:line="240" w:lineRule="auto"/>
        <w:ind w:left="567" w:hanging="567"/>
        <w:jc w:val="both"/>
        <w:rPr>
          <w:rFonts w:ascii="Tahoma" w:hAnsi="Tahoma" w:cs="Tahoma"/>
          <w:b/>
          <w:bCs/>
          <w:i/>
          <w:iCs/>
          <w:sz w:val="20"/>
          <w:szCs w:val="20"/>
        </w:rPr>
      </w:pPr>
      <w:r w:rsidRPr="00B13891">
        <w:rPr>
          <w:rFonts w:ascii="Tahoma" w:hAnsi="Tahoma" w:cs="Tahoma"/>
          <w:sz w:val="20"/>
          <w:szCs w:val="20"/>
        </w:rPr>
        <w:t>Finalmente, atendiendo a que la falsificación de documentos constituye un ilícito penal, previsto y sancionado en el artículo 427 del Código Penal</w:t>
      </w:r>
      <w:r w:rsidRPr="00D90D65">
        <w:rPr>
          <w:rFonts w:ascii="Tahoma" w:hAnsi="Tahoma" w:cs="Tahoma"/>
          <w:sz w:val="20"/>
          <w:szCs w:val="20"/>
          <w:vertAlign w:val="superscript"/>
        </w:rPr>
        <w:footnoteReference w:id="6"/>
      </w:r>
      <w:r w:rsidRPr="00B13891">
        <w:rPr>
          <w:rFonts w:ascii="Tahoma" w:hAnsi="Tahoma" w:cs="Tahoma"/>
          <w:sz w:val="20"/>
          <w:szCs w:val="20"/>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 del referido Código Penal</w:t>
      </w:r>
      <w:r w:rsidRPr="00D90D65">
        <w:rPr>
          <w:rFonts w:ascii="Tahoma" w:hAnsi="Tahoma" w:cs="Tahoma"/>
          <w:sz w:val="20"/>
          <w:szCs w:val="20"/>
          <w:vertAlign w:val="superscript"/>
        </w:rPr>
        <w:footnoteReference w:id="7"/>
      </w:r>
      <w:r w:rsidRPr="00B13891">
        <w:rPr>
          <w:rFonts w:ascii="Tahoma" w:hAnsi="Tahoma" w:cs="Tahoma"/>
          <w:sz w:val="20"/>
          <w:szCs w:val="20"/>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D90D65" w:rsidRPr="00D90D65" w:rsidRDefault="00D90D65" w:rsidP="00D90D65">
      <w:pPr>
        <w:spacing w:after="0" w:line="240" w:lineRule="auto"/>
        <w:ind w:firstLine="567"/>
        <w:jc w:val="both"/>
        <w:rPr>
          <w:rFonts w:ascii="Tahoma" w:hAnsi="Tahoma" w:cs="Tahoma"/>
          <w:sz w:val="20"/>
          <w:szCs w:val="20"/>
          <w:lang w:val="es-ES_tradnl"/>
        </w:rPr>
      </w:pPr>
    </w:p>
    <w:p w:rsidR="00D90D65" w:rsidRPr="00D90D65" w:rsidRDefault="00D90D65" w:rsidP="00D90D65">
      <w:pPr>
        <w:spacing w:after="0" w:line="240" w:lineRule="auto"/>
        <w:ind w:left="-284" w:firstLine="360"/>
        <w:jc w:val="both"/>
        <w:rPr>
          <w:rFonts w:ascii="Tahoma" w:hAnsi="Tahoma" w:cs="Tahoma"/>
          <w:sz w:val="20"/>
          <w:szCs w:val="20"/>
        </w:rPr>
      </w:pPr>
      <w:r w:rsidRPr="00D90D65">
        <w:rPr>
          <w:rFonts w:ascii="Tahoma" w:hAnsi="Tahoma" w:cs="Tahoma"/>
          <w:sz w:val="20"/>
          <w:szCs w:val="20"/>
        </w:rPr>
        <w:lastRenderedPageBreak/>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D90D65" w:rsidRDefault="004C09CD" w:rsidP="004C09CD">
      <w:pPr>
        <w:tabs>
          <w:tab w:val="left" w:pos="4672"/>
        </w:tabs>
        <w:spacing w:after="0" w:line="240" w:lineRule="auto"/>
        <w:jc w:val="both"/>
        <w:rPr>
          <w:rFonts w:ascii="Tahoma" w:hAnsi="Tahoma" w:cs="Tahoma"/>
          <w:sz w:val="20"/>
          <w:szCs w:val="20"/>
        </w:rPr>
      </w:pPr>
      <w:r>
        <w:rPr>
          <w:rFonts w:ascii="Tahoma" w:hAnsi="Tahoma" w:cs="Tahoma"/>
          <w:sz w:val="20"/>
          <w:szCs w:val="20"/>
        </w:rPr>
        <w:tab/>
      </w:r>
    </w:p>
    <w:p w:rsidR="00D90D65" w:rsidRPr="00D90D65" w:rsidRDefault="00D90D65" w:rsidP="00D90D65">
      <w:pPr>
        <w:spacing w:after="0" w:line="240" w:lineRule="auto"/>
        <w:ind w:right="-315"/>
        <w:jc w:val="both"/>
        <w:rPr>
          <w:rFonts w:ascii="Tahoma" w:hAnsi="Tahoma" w:cs="Tahoma"/>
          <w:b/>
          <w:sz w:val="20"/>
          <w:szCs w:val="20"/>
        </w:rPr>
      </w:pPr>
      <w:r w:rsidRPr="00D90D65">
        <w:rPr>
          <w:rFonts w:ascii="Tahoma" w:hAnsi="Tahoma" w:cs="Tahoma"/>
          <w:b/>
          <w:sz w:val="20"/>
          <w:szCs w:val="20"/>
        </w:rPr>
        <w:t>LA SALA RESUELVE:</w:t>
      </w:r>
    </w:p>
    <w:p w:rsidR="009E3A2F" w:rsidRDefault="009E3A2F" w:rsidP="009E3A2F">
      <w:pPr>
        <w:spacing w:after="0" w:line="240" w:lineRule="auto"/>
        <w:ind w:left="720"/>
        <w:jc w:val="both"/>
        <w:rPr>
          <w:rFonts w:ascii="Tahoma" w:hAnsi="Tahoma" w:cs="Tahoma"/>
          <w:sz w:val="20"/>
          <w:szCs w:val="20"/>
        </w:rPr>
      </w:pPr>
    </w:p>
    <w:p w:rsidR="00D90D65" w:rsidRDefault="00D90D65" w:rsidP="00D90D65">
      <w:pPr>
        <w:numPr>
          <w:ilvl w:val="0"/>
          <w:numId w:val="9"/>
        </w:numPr>
        <w:spacing w:after="0" w:line="240" w:lineRule="auto"/>
        <w:jc w:val="both"/>
        <w:rPr>
          <w:rFonts w:ascii="Tahoma" w:hAnsi="Tahoma" w:cs="Tahoma"/>
          <w:sz w:val="20"/>
          <w:szCs w:val="20"/>
        </w:rPr>
      </w:pPr>
      <w:r w:rsidRPr="00D90D65">
        <w:rPr>
          <w:rFonts w:ascii="Tahoma" w:hAnsi="Tahoma" w:cs="Tahoma"/>
          <w:sz w:val="20"/>
          <w:szCs w:val="20"/>
        </w:rPr>
        <w:t xml:space="preserve">Imponer sanción administrativa a la empresa </w:t>
      </w:r>
      <w:r w:rsidR="00265BF1">
        <w:rPr>
          <w:rFonts w:ascii="Tahoma" w:hAnsi="Tahoma" w:cs="Tahoma"/>
          <w:sz w:val="20"/>
          <w:szCs w:val="20"/>
          <w:lang w:val="es-PE"/>
        </w:rPr>
        <w:t>C.P.R. INTER TRADING CORP S.A.C.</w:t>
      </w:r>
      <w:r w:rsidRPr="00D90D65">
        <w:rPr>
          <w:rFonts w:ascii="Tahoma" w:hAnsi="Tahoma" w:cs="Tahoma"/>
          <w:sz w:val="20"/>
          <w:szCs w:val="20"/>
        </w:rPr>
        <w:t xml:space="preserve"> la sanción administrativa de inhabilitación temporal por el periodo de doce (12) meses en sus derechos de participar en procesos de selección y contratar con el Estado, por la presentación de documentos inexactos durante la Adjudicación de Menor Cuantía Nº 025-2010-GR-CUSCO-DRTCC, la cual entrará en vigencia a partir del sexto día hábil siguiente de notificada la presente Resolución.</w:t>
      </w:r>
    </w:p>
    <w:p w:rsidR="00180D95" w:rsidRDefault="00180D95" w:rsidP="00180D95">
      <w:pPr>
        <w:spacing w:after="0" w:line="240" w:lineRule="auto"/>
        <w:ind w:left="720"/>
        <w:jc w:val="both"/>
        <w:rPr>
          <w:rFonts w:ascii="Tahoma" w:hAnsi="Tahoma" w:cs="Tahoma"/>
          <w:sz w:val="20"/>
          <w:szCs w:val="20"/>
        </w:rPr>
      </w:pPr>
    </w:p>
    <w:p w:rsidR="00D90D65" w:rsidRDefault="00D90D65" w:rsidP="00180D95">
      <w:pPr>
        <w:numPr>
          <w:ilvl w:val="0"/>
          <w:numId w:val="9"/>
        </w:numPr>
        <w:spacing w:after="0" w:line="240" w:lineRule="auto"/>
        <w:jc w:val="both"/>
        <w:rPr>
          <w:rFonts w:ascii="Tahoma" w:hAnsi="Tahoma" w:cs="Tahoma"/>
          <w:sz w:val="20"/>
          <w:szCs w:val="20"/>
        </w:rPr>
      </w:pPr>
      <w:r w:rsidRPr="00180D95">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180D95" w:rsidRDefault="00180D95" w:rsidP="00180D95">
      <w:pPr>
        <w:pStyle w:val="Prrafodelista"/>
        <w:rPr>
          <w:rFonts w:ascii="Tahoma" w:hAnsi="Tahoma" w:cs="Tahoma"/>
          <w:sz w:val="20"/>
        </w:rPr>
      </w:pPr>
    </w:p>
    <w:p w:rsidR="00D90D65" w:rsidRPr="00180D95" w:rsidRDefault="00D90D65" w:rsidP="00180D95">
      <w:pPr>
        <w:numPr>
          <w:ilvl w:val="0"/>
          <w:numId w:val="9"/>
        </w:numPr>
        <w:spacing w:after="0" w:line="240" w:lineRule="auto"/>
        <w:jc w:val="both"/>
        <w:rPr>
          <w:rFonts w:ascii="Tahoma" w:hAnsi="Tahoma" w:cs="Tahoma"/>
          <w:sz w:val="20"/>
          <w:szCs w:val="20"/>
        </w:rPr>
      </w:pPr>
      <w:r w:rsidRPr="00180D95">
        <w:rPr>
          <w:rFonts w:ascii="Tahoma" w:hAnsi="Tahoma" w:cs="Tahoma"/>
          <w:sz w:val="20"/>
          <w:szCs w:val="20"/>
        </w:rPr>
        <w:t>Poner la presente Resolución en conocimiento del Ministerio Público y de la Presidencia Ejecutiva del Organismo Supervisor de las Contrataciones del Estado (OSCE), por los fundamentos expuestos.</w:t>
      </w:r>
    </w:p>
    <w:p w:rsidR="00D90D65" w:rsidRPr="00D90D65" w:rsidRDefault="00D90D65" w:rsidP="00D90D65">
      <w:pPr>
        <w:tabs>
          <w:tab w:val="num" w:pos="720"/>
        </w:tabs>
        <w:spacing w:line="240" w:lineRule="auto"/>
        <w:ind w:left="720" w:hanging="360"/>
        <w:rPr>
          <w:rFonts w:ascii="Tahoma" w:hAnsi="Tahoma" w:cs="Tahoma"/>
          <w:sz w:val="20"/>
          <w:szCs w:val="20"/>
        </w:rPr>
      </w:pPr>
    </w:p>
    <w:p w:rsidR="00D90D65" w:rsidRPr="00D90D65" w:rsidRDefault="00D90D65" w:rsidP="00D90D65">
      <w:pPr>
        <w:pStyle w:val="Ttulo3"/>
        <w:spacing w:line="240" w:lineRule="auto"/>
        <w:jc w:val="both"/>
        <w:rPr>
          <w:rFonts w:ascii="Tahoma" w:hAnsi="Tahoma" w:cs="Tahoma"/>
          <w:b w:val="0"/>
          <w:bCs w:val="0"/>
          <w:sz w:val="20"/>
          <w:szCs w:val="20"/>
        </w:rPr>
      </w:pPr>
      <w:r w:rsidRPr="00D90D65">
        <w:rPr>
          <w:rFonts w:ascii="Tahoma" w:hAnsi="Tahoma" w:cs="Tahoma"/>
          <w:b w:val="0"/>
          <w:sz w:val="20"/>
          <w:szCs w:val="20"/>
        </w:rPr>
        <w:t>Regístrese, comuníquese y publíquese.</w:t>
      </w: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ind w:left="2832" w:firstLine="708"/>
        <w:jc w:val="both"/>
        <w:rPr>
          <w:rFonts w:ascii="Tahoma" w:hAnsi="Tahoma" w:cs="Tahoma"/>
          <w:b/>
          <w:shadow/>
          <w:sz w:val="20"/>
          <w:szCs w:val="20"/>
        </w:rPr>
      </w:pPr>
      <w:r w:rsidRPr="00D90D65">
        <w:rPr>
          <w:rFonts w:ascii="Tahoma" w:hAnsi="Tahoma" w:cs="Tahoma"/>
          <w:b/>
          <w:shadow/>
          <w:sz w:val="20"/>
          <w:szCs w:val="20"/>
        </w:rPr>
        <w:t>PRESIDENTE</w:t>
      </w: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jc w:val="both"/>
        <w:rPr>
          <w:rFonts w:ascii="Tahoma" w:hAnsi="Tahoma" w:cs="Tahoma"/>
          <w:b/>
          <w:shadow/>
          <w:sz w:val="20"/>
          <w:szCs w:val="20"/>
        </w:rPr>
      </w:pPr>
    </w:p>
    <w:p w:rsidR="00D90D65" w:rsidRPr="00D90D65" w:rsidRDefault="00D90D65" w:rsidP="00D90D65">
      <w:pPr>
        <w:spacing w:after="0" w:line="240" w:lineRule="auto"/>
        <w:jc w:val="both"/>
        <w:rPr>
          <w:rFonts w:ascii="Tahoma" w:hAnsi="Tahoma" w:cs="Tahoma"/>
          <w:shadow/>
          <w:sz w:val="20"/>
          <w:szCs w:val="20"/>
        </w:rPr>
      </w:pPr>
      <w:r w:rsidRPr="00D90D65">
        <w:rPr>
          <w:rFonts w:ascii="Tahoma" w:hAnsi="Tahoma" w:cs="Tahoma"/>
          <w:b/>
          <w:shadow/>
          <w:sz w:val="20"/>
          <w:szCs w:val="20"/>
        </w:rPr>
        <w:t xml:space="preserve">                   VOCAL</w:t>
      </w:r>
      <w:r w:rsidRPr="00D90D65">
        <w:rPr>
          <w:rFonts w:ascii="Tahoma" w:hAnsi="Tahoma" w:cs="Tahoma"/>
          <w:b/>
          <w:shadow/>
          <w:sz w:val="20"/>
          <w:szCs w:val="20"/>
        </w:rPr>
        <w:tab/>
      </w:r>
      <w:r w:rsidRPr="00D90D65">
        <w:rPr>
          <w:rFonts w:ascii="Tahoma" w:hAnsi="Tahoma" w:cs="Tahoma"/>
          <w:b/>
          <w:shadow/>
          <w:sz w:val="20"/>
          <w:szCs w:val="20"/>
        </w:rPr>
        <w:tab/>
      </w:r>
      <w:r w:rsidRPr="00D90D65">
        <w:rPr>
          <w:rFonts w:ascii="Tahoma" w:hAnsi="Tahoma" w:cs="Tahoma"/>
          <w:b/>
          <w:shadow/>
          <w:sz w:val="20"/>
          <w:szCs w:val="20"/>
        </w:rPr>
        <w:tab/>
      </w:r>
      <w:r w:rsidRPr="00D90D65">
        <w:rPr>
          <w:rFonts w:ascii="Tahoma" w:hAnsi="Tahoma" w:cs="Tahoma"/>
          <w:b/>
          <w:shadow/>
          <w:sz w:val="20"/>
          <w:szCs w:val="20"/>
        </w:rPr>
        <w:tab/>
      </w:r>
      <w:r w:rsidRPr="00D90D65">
        <w:rPr>
          <w:rFonts w:ascii="Tahoma" w:hAnsi="Tahoma" w:cs="Tahoma"/>
          <w:b/>
          <w:shadow/>
          <w:sz w:val="20"/>
          <w:szCs w:val="20"/>
        </w:rPr>
        <w:tab/>
      </w:r>
      <w:r w:rsidRPr="00D90D65">
        <w:rPr>
          <w:rFonts w:ascii="Tahoma" w:hAnsi="Tahoma" w:cs="Tahoma"/>
          <w:b/>
          <w:shadow/>
          <w:sz w:val="20"/>
          <w:szCs w:val="20"/>
        </w:rPr>
        <w:tab/>
      </w:r>
      <w:r w:rsidRPr="00D90D65">
        <w:rPr>
          <w:rFonts w:ascii="Tahoma" w:hAnsi="Tahoma" w:cs="Tahoma"/>
          <w:b/>
          <w:shadow/>
          <w:sz w:val="20"/>
          <w:szCs w:val="20"/>
        </w:rPr>
        <w:tab/>
      </w:r>
      <w:r w:rsidRPr="00D90D65">
        <w:rPr>
          <w:rFonts w:ascii="Tahoma" w:hAnsi="Tahoma" w:cs="Tahoma"/>
          <w:b/>
          <w:shadow/>
          <w:sz w:val="20"/>
          <w:szCs w:val="20"/>
        </w:rPr>
        <w:tab/>
        <w:t xml:space="preserve">VOCAL                                                                 </w:t>
      </w:r>
    </w:p>
    <w:p w:rsidR="00D90D65" w:rsidRPr="00D90D65" w:rsidRDefault="00D90D65" w:rsidP="00D90D65">
      <w:pPr>
        <w:spacing w:after="0" w:line="240" w:lineRule="auto"/>
        <w:jc w:val="both"/>
        <w:rPr>
          <w:rFonts w:ascii="Tahoma" w:hAnsi="Tahoma" w:cs="Tahoma"/>
          <w:sz w:val="20"/>
          <w:szCs w:val="20"/>
        </w:rPr>
      </w:pPr>
    </w:p>
    <w:p w:rsidR="00D90D65" w:rsidRPr="00D90D65" w:rsidRDefault="00D90D65" w:rsidP="00D90D65">
      <w:pPr>
        <w:spacing w:after="0" w:line="240" w:lineRule="auto"/>
        <w:jc w:val="both"/>
        <w:rPr>
          <w:rFonts w:ascii="Tahoma" w:hAnsi="Tahoma" w:cs="Tahoma"/>
          <w:sz w:val="20"/>
          <w:szCs w:val="20"/>
        </w:rPr>
      </w:pPr>
    </w:p>
    <w:p w:rsidR="00D90D65" w:rsidRPr="00D90D65" w:rsidRDefault="00D90D65" w:rsidP="00D90D65">
      <w:pPr>
        <w:spacing w:after="0" w:line="240" w:lineRule="auto"/>
        <w:jc w:val="both"/>
        <w:rPr>
          <w:rFonts w:ascii="Tahoma" w:hAnsi="Tahoma" w:cs="Tahoma"/>
          <w:sz w:val="20"/>
          <w:szCs w:val="20"/>
        </w:rPr>
      </w:pPr>
    </w:p>
    <w:p w:rsidR="00D90D65" w:rsidRPr="00D90D65" w:rsidRDefault="00D90D65" w:rsidP="00D90D65">
      <w:pPr>
        <w:spacing w:after="0" w:line="240" w:lineRule="auto"/>
        <w:jc w:val="both"/>
        <w:rPr>
          <w:rFonts w:ascii="Tahoma" w:hAnsi="Tahoma" w:cs="Tahoma"/>
          <w:sz w:val="20"/>
          <w:szCs w:val="20"/>
        </w:rPr>
      </w:pPr>
    </w:p>
    <w:p w:rsidR="00D90D65" w:rsidRPr="00D90D65" w:rsidRDefault="00D90D65" w:rsidP="00D90D65">
      <w:pPr>
        <w:spacing w:after="0" w:line="240" w:lineRule="auto"/>
        <w:jc w:val="both"/>
        <w:rPr>
          <w:rFonts w:ascii="Tahoma" w:hAnsi="Tahoma" w:cs="Tahoma"/>
          <w:sz w:val="20"/>
          <w:szCs w:val="20"/>
        </w:rPr>
      </w:pPr>
      <w:r w:rsidRPr="00D90D65">
        <w:rPr>
          <w:rFonts w:ascii="Tahoma" w:hAnsi="Tahoma" w:cs="Tahoma"/>
          <w:sz w:val="20"/>
          <w:szCs w:val="20"/>
        </w:rPr>
        <w:t>ss.</w:t>
      </w:r>
    </w:p>
    <w:p w:rsidR="00D90D65" w:rsidRPr="00D90D65" w:rsidRDefault="00D90D65" w:rsidP="00D90D65">
      <w:pPr>
        <w:spacing w:after="0" w:line="240" w:lineRule="auto"/>
        <w:jc w:val="both"/>
        <w:rPr>
          <w:rFonts w:ascii="Tahoma" w:hAnsi="Tahoma" w:cs="Tahoma"/>
          <w:sz w:val="20"/>
          <w:szCs w:val="20"/>
        </w:rPr>
      </w:pPr>
      <w:r w:rsidRPr="00D90D65">
        <w:rPr>
          <w:rFonts w:ascii="Tahoma" w:hAnsi="Tahoma" w:cs="Tahoma"/>
          <w:sz w:val="20"/>
          <w:szCs w:val="20"/>
        </w:rPr>
        <w:t>Navas Rondón.</w:t>
      </w:r>
    </w:p>
    <w:p w:rsidR="00D90D65" w:rsidRPr="00D90D65" w:rsidRDefault="00D90D65" w:rsidP="00D90D65">
      <w:pPr>
        <w:spacing w:after="0" w:line="240" w:lineRule="auto"/>
        <w:jc w:val="both"/>
        <w:rPr>
          <w:rFonts w:ascii="Tahoma" w:hAnsi="Tahoma" w:cs="Tahoma"/>
          <w:sz w:val="20"/>
          <w:szCs w:val="20"/>
        </w:rPr>
      </w:pPr>
      <w:r w:rsidRPr="00D90D65">
        <w:rPr>
          <w:rFonts w:ascii="Tahoma" w:hAnsi="Tahoma" w:cs="Tahoma"/>
          <w:sz w:val="20"/>
          <w:szCs w:val="20"/>
        </w:rPr>
        <w:t>Ramírez Maynetto.</w:t>
      </w:r>
    </w:p>
    <w:p w:rsidR="00D90D65" w:rsidRPr="00D90D65" w:rsidRDefault="00D90D65" w:rsidP="00D90D65">
      <w:pPr>
        <w:spacing w:after="0" w:line="240" w:lineRule="auto"/>
        <w:jc w:val="both"/>
        <w:rPr>
          <w:rFonts w:ascii="Tahoma" w:hAnsi="Tahoma" w:cs="Tahoma"/>
          <w:sz w:val="20"/>
          <w:szCs w:val="20"/>
        </w:rPr>
      </w:pPr>
      <w:r w:rsidRPr="00D90D65">
        <w:rPr>
          <w:rFonts w:ascii="Tahoma" w:hAnsi="Tahoma" w:cs="Tahoma"/>
          <w:sz w:val="20"/>
          <w:szCs w:val="20"/>
        </w:rPr>
        <w:t xml:space="preserve">Basulto Liewald, </w:t>
      </w:r>
    </w:p>
    <w:p w:rsidR="00D90D65" w:rsidRPr="00D90D65" w:rsidRDefault="00D90D65" w:rsidP="00D90D65">
      <w:pPr>
        <w:spacing w:line="240" w:lineRule="auto"/>
        <w:rPr>
          <w:rFonts w:ascii="Tahoma" w:hAnsi="Tahoma" w:cs="Tahoma"/>
          <w:sz w:val="20"/>
          <w:szCs w:val="20"/>
        </w:rPr>
      </w:pPr>
    </w:p>
    <w:p w:rsidR="00480233" w:rsidRPr="00D90D65" w:rsidRDefault="00480233" w:rsidP="00D90D65">
      <w:pPr>
        <w:spacing w:line="240" w:lineRule="auto"/>
        <w:rPr>
          <w:rFonts w:ascii="Tahoma" w:hAnsi="Tahoma" w:cs="Tahoma"/>
          <w:sz w:val="20"/>
          <w:szCs w:val="20"/>
        </w:rPr>
      </w:pPr>
    </w:p>
    <w:sectPr w:rsidR="00480233" w:rsidRPr="00D90D65" w:rsidSect="00744DF3">
      <w:headerReference w:type="default" r:id="rId7"/>
      <w:footerReference w:type="default" r:id="rId8"/>
      <w:pgSz w:w="11906" w:h="16838"/>
      <w:pgMar w:top="2836" w:right="1558" w:bottom="141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94E" w:rsidRDefault="00F0294E" w:rsidP="00D90D65">
      <w:pPr>
        <w:spacing w:after="0" w:line="240" w:lineRule="auto"/>
      </w:pPr>
      <w:r>
        <w:separator/>
      </w:r>
    </w:p>
  </w:endnote>
  <w:endnote w:type="continuationSeparator" w:id="1">
    <w:p w:rsidR="00F0294E" w:rsidRDefault="00F0294E" w:rsidP="00D90D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233" w:rsidRPr="00FD5A0C" w:rsidRDefault="00480233">
    <w:pPr>
      <w:pStyle w:val="Piedepgina"/>
      <w:jc w:val="center"/>
      <w:rPr>
        <w:rFonts w:ascii="Tahoma" w:hAnsi="Tahoma" w:cs="Tahoma"/>
        <w:i/>
        <w:sz w:val="18"/>
        <w:szCs w:val="18"/>
      </w:rPr>
    </w:pPr>
    <w:r w:rsidRPr="00FD5A0C">
      <w:rPr>
        <w:rFonts w:ascii="Tahoma" w:hAnsi="Tahoma" w:cs="Tahoma"/>
        <w:i/>
        <w:sz w:val="18"/>
        <w:szCs w:val="18"/>
      </w:rPr>
      <w:t xml:space="preserve">Página </w:t>
    </w:r>
    <w:r w:rsidR="00937811" w:rsidRPr="00FD5A0C">
      <w:rPr>
        <w:rFonts w:ascii="Tahoma" w:hAnsi="Tahoma" w:cs="Tahoma"/>
        <w:i/>
        <w:sz w:val="18"/>
        <w:szCs w:val="18"/>
      </w:rPr>
      <w:fldChar w:fldCharType="begin"/>
    </w:r>
    <w:r w:rsidRPr="00FD5A0C">
      <w:rPr>
        <w:rFonts w:ascii="Tahoma" w:hAnsi="Tahoma" w:cs="Tahoma"/>
        <w:i/>
        <w:sz w:val="18"/>
        <w:szCs w:val="18"/>
      </w:rPr>
      <w:instrText>PAGE</w:instrText>
    </w:r>
    <w:r w:rsidR="00937811" w:rsidRPr="00FD5A0C">
      <w:rPr>
        <w:rFonts w:ascii="Tahoma" w:hAnsi="Tahoma" w:cs="Tahoma"/>
        <w:i/>
        <w:sz w:val="18"/>
        <w:szCs w:val="18"/>
      </w:rPr>
      <w:fldChar w:fldCharType="separate"/>
    </w:r>
    <w:r w:rsidR="00644FB2">
      <w:rPr>
        <w:rFonts w:ascii="Tahoma" w:hAnsi="Tahoma" w:cs="Tahoma"/>
        <w:i/>
        <w:noProof/>
        <w:sz w:val="18"/>
        <w:szCs w:val="18"/>
      </w:rPr>
      <w:t>1</w:t>
    </w:r>
    <w:r w:rsidR="00937811" w:rsidRPr="00FD5A0C">
      <w:rPr>
        <w:rFonts w:ascii="Tahoma" w:hAnsi="Tahoma" w:cs="Tahoma"/>
        <w:i/>
        <w:sz w:val="18"/>
        <w:szCs w:val="18"/>
      </w:rPr>
      <w:fldChar w:fldCharType="end"/>
    </w:r>
    <w:r w:rsidRPr="00FD5A0C">
      <w:rPr>
        <w:rFonts w:ascii="Tahoma" w:hAnsi="Tahoma" w:cs="Tahoma"/>
        <w:i/>
        <w:sz w:val="18"/>
        <w:szCs w:val="18"/>
      </w:rPr>
      <w:t xml:space="preserve"> de </w:t>
    </w:r>
    <w:r w:rsidR="00937811" w:rsidRPr="00FD5A0C">
      <w:rPr>
        <w:rFonts w:ascii="Tahoma" w:hAnsi="Tahoma" w:cs="Tahoma"/>
        <w:i/>
        <w:sz w:val="18"/>
        <w:szCs w:val="18"/>
      </w:rPr>
      <w:fldChar w:fldCharType="begin"/>
    </w:r>
    <w:r w:rsidRPr="00FD5A0C">
      <w:rPr>
        <w:rFonts w:ascii="Tahoma" w:hAnsi="Tahoma" w:cs="Tahoma"/>
        <w:i/>
        <w:sz w:val="18"/>
        <w:szCs w:val="18"/>
      </w:rPr>
      <w:instrText>NUMPAGES</w:instrText>
    </w:r>
    <w:r w:rsidR="00937811" w:rsidRPr="00FD5A0C">
      <w:rPr>
        <w:rFonts w:ascii="Tahoma" w:hAnsi="Tahoma" w:cs="Tahoma"/>
        <w:i/>
        <w:sz w:val="18"/>
        <w:szCs w:val="18"/>
      </w:rPr>
      <w:fldChar w:fldCharType="separate"/>
    </w:r>
    <w:r w:rsidR="00644FB2">
      <w:rPr>
        <w:rFonts w:ascii="Tahoma" w:hAnsi="Tahoma" w:cs="Tahoma"/>
        <w:i/>
        <w:noProof/>
        <w:sz w:val="18"/>
        <w:szCs w:val="18"/>
      </w:rPr>
      <w:t>8</w:t>
    </w:r>
    <w:r w:rsidR="00937811" w:rsidRPr="00FD5A0C">
      <w:rPr>
        <w:rFonts w:ascii="Tahoma" w:hAnsi="Tahoma" w:cs="Tahoma"/>
        <w:i/>
        <w:sz w:val="18"/>
        <w:szCs w:val="18"/>
      </w:rPr>
      <w:fldChar w:fldCharType="end"/>
    </w:r>
  </w:p>
  <w:p w:rsidR="00480233" w:rsidRDefault="0048023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94E" w:rsidRDefault="00F0294E" w:rsidP="00D90D65">
      <w:pPr>
        <w:spacing w:after="0" w:line="240" w:lineRule="auto"/>
      </w:pPr>
      <w:r>
        <w:separator/>
      </w:r>
    </w:p>
  </w:footnote>
  <w:footnote w:type="continuationSeparator" w:id="1">
    <w:p w:rsidR="00F0294E" w:rsidRDefault="00F0294E" w:rsidP="00D90D65">
      <w:pPr>
        <w:spacing w:after="0" w:line="240" w:lineRule="auto"/>
      </w:pPr>
      <w:r>
        <w:continuationSeparator/>
      </w:r>
    </w:p>
  </w:footnote>
  <w:footnote w:id="2">
    <w:p w:rsidR="00480233" w:rsidRDefault="00480233" w:rsidP="00D90D65">
      <w:pPr>
        <w:pStyle w:val="Textonotapie"/>
        <w:rPr>
          <w:i/>
          <w:iCs/>
          <w:sz w:val="18"/>
          <w:szCs w:val="18"/>
        </w:rPr>
      </w:pPr>
      <w:r>
        <w:rPr>
          <w:rStyle w:val="Refdenotaalpie"/>
          <w:i/>
          <w:iCs/>
          <w:sz w:val="18"/>
          <w:szCs w:val="18"/>
        </w:rPr>
        <w:footnoteRef/>
      </w:r>
      <w:r>
        <w:rPr>
          <w:i/>
          <w:iCs/>
          <w:sz w:val="18"/>
          <w:szCs w:val="18"/>
        </w:rPr>
        <w:t xml:space="preserve"> </w:t>
      </w:r>
      <w:r w:rsidRPr="00480233">
        <w:rPr>
          <w:i/>
          <w:iCs/>
          <w:sz w:val="16"/>
          <w:szCs w:val="16"/>
        </w:rPr>
        <w:t xml:space="preserve">Dicho principio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80233">
        <w:rPr>
          <w:b/>
          <w:bCs/>
          <w:i/>
          <w:iCs/>
          <w:sz w:val="16"/>
          <w:szCs w:val="16"/>
        </w:rPr>
        <w:t>Comentarios a la Ley del Procedimiento Administrativo General</w:t>
      </w:r>
      <w:r w:rsidRPr="00480233">
        <w:rPr>
          <w:i/>
          <w:iCs/>
          <w:sz w:val="16"/>
          <w:szCs w:val="16"/>
        </w:rPr>
        <w:t>. Cuarta Edición. Lima: Gaceta Jurídica, 2005; pp. 74-75.</w:t>
      </w:r>
    </w:p>
    <w:p w:rsidR="00480233" w:rsidRDefault="00480233" w:rsidP="00D90D65">
      <w:pPr>
        <w:pStyle w:val="Textonotapie"/>
      </w:pPr>
    </w:p>
  </w:footnote>
  <w:footnote w:id="3">
    <w:p w:rsidR="00480233" w:rsidRDefault="00480233" w:rsidP="00D90D65">
      <w:pPr>
        <w:pStyle w:val="Textonotapie"/>
      </w:pPr>
      <w:r>
        <w:rPr>
          <w:rStyle w:val="Refdenotaalpie"/>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4">
    <w:p w:rsidR="002162C1" w:rsidRPr="00832364" w:rsidRDefault="002162C1" w:rsidP="002162C1">
      <w:pPr>
        <w:pStyle w:val="Textonotapie"/>
        <w:rPr>
          <w:sz w:val="16"/>
          <w:szCs w:val="16"/>
        </w:rPr>
      </w:pPr>
      <w:r w:rsidRPr="00832364">
        <w:rPr>
          <w:rStyle w:val="Refdenotaalpie"/>
        </w:rPr>
        <w:footnoteRef/>
      </w:r>
      <w:r w:rsidRPr="00832364">
        <w:rPr>
          <w:sz w:val="16"/>
          <w:szCs w:val="16"/>
        </w:rPr>
        <w:t xml:space="preserve"> Documentos obrantes  a fojas 100 a 105 del expediente administrativo.</w:t>
      </w:r>
    </w:p>
  </w:footnote>
  <w:footnote w:id="5">
    <w:p w:rsidR="00480233" w:rsidRPr="00480233" w:rsidRDefault="00480233" w:rsidP="00D90D65">
      <w:pPr>
        <w:pStyle w:val="Textonotapie"/>
        <w:ind w:left="142" w:hanging="142"/>
        <w:rPr>
          <w:b/>
          <w:bCs/>
          <w:i/>
          <w:iCs/>
          <w:sz w:val="16"/>
          <w:szCs w:val="16"/>
          <w:lang w:val="es-ES_tradnl"/>
        </w:rPr>
      </w:pPr>
      <w:r>
        <w:rPr>
          <w:rStyle w:val="Refdenotaalpie"/>
          <w:i/>
          <w:iCs/>
          <w:sz w:val="18"/>
          <w:szCs w:val="18"/>
        </w:rPr>
        <w:footnoteRef/>
      </w:r>
      <w:r>
        <w:rPr>
          <w:b/>
          <w:bCs/>
          <w:i/>
          <w:iCs/>
          <w:sz w:val="18"/>
          <w:szCs w:val="18"/>
        </w:rPr>
        <w:t xml:space="preserve"> </w:t>
      </w:r>
      <w:r w:rsidRPr="00480233">
        <w:rPr>
          <w:b/>
          <w:bCs/>
          <w:i/>
          <w:iCs/>
          <w:sz w:val="16"/>
          <w:szCs w:val="16"/>
          <w:lang w:val="es-ES_tradnl"/>
        </w:rPr>
        <w:t>Artículo 245.- Determinación gradual de la sanción.-</w:t>
      </w:r>
    </w:p>
    <w:p w:rsidR="00480233" w:rsidRPr="00480233" w:rsidRDefault="00480233" w:rsidP="00D90D65">
      <w:pPr>
        <w:pStyle w:val="Textonotapie"/>
        <w:ind w:left="142"/>
        <w:rPr>
          <w:i/>
          <w:iCs/>
          <w:sz w:val="16"/>
          <w:szCs w:val="16"/>
          <w:lang w:val="es-ES_tradnl"/>
        </w:rPr>
      </w:pPr>
      <w:r w:rsidRPr="00480233">
        <w:rPr>
          <w:i/>
          <w:iCs/>
          <w:sz w:val="16"/>
          <w:szCs w:val="16"/>
          <w:lang w:val="es-ES_tradnl"/>
        </w:rPr>
        <w:t>Para graduar la sanción de inhabilitación temporal a imponerse conforme a las disposiciones del presente Título, el Tribunal considerará los siguientes criterios:</w:t>
      </w:r>
    </w:p>
    <w:p w:rsidR="00480233" w:rsidRPr="00480233" w:rsidRDefault="00480233" w:rsidP="00D90D65">
      <w:pPr>
        <w:pStyle w:val="Textonotapie"/>
        <w:numPr>
          <w:ilvl w:val="0"/>
          <w:numId w:val="8"/>
        </w:numPr>
        <w:tabs>
          <w:tab w:val="num" w:pos="284"/>
        </w:tabs>
        <w:ind w:left="284" w:firstLine="0"/>
        <w:rPr>
          <w:i/>
          <w:iCs/>
          <w:sz w:val="16"/>
          <w:szCs w:val="16"/>
          <w:lang w:val="es-ES_tradnl"/>
        </w:rPr>
      </w:pPr>
      <w:r w:rsidRPr="00480233">
        <w:rPr>
          <w:i/>
          <w:iCs/>
          <w:sz w:val="16"/>
          <w:szCs w:val="16"/>
          <w:lang w:val="es-ES_tradnl"/>
        </w:rPr>
        <w:t>Naturaleza de la infracción.</w:t>
      </w:r>
    </w:p>
    <w:p w:rsidR="00480233" w:rsidRPr="00480233" w:rsidRDefault="00480233" w:rsidP="00D90D65">
      <w:pPr>
        <w:pStyle w:val="Textonotapie"/>
        <w:numPr>
          <w:ilvl w:val="0"/>
          <w:numId w:val="8"/>
        </w:numPr>
        <w:tabs>
          <w:tab w:val="num" w:pos="284"/>
        </w:tabs>
        <w:ind w:left="284" w:firstLine="0"/>
        <w:rPr>
          <w:i/>
          <w:iCs/>
          <w:sz w:val="16"/>
          <w:szCs w:val="16"/>
          <w:lang w:val="es-ES_tradnl"/>
        </w:rPr>
      </w:pPr>
      <w:r w:rsidRPr="00480233">
        <w:rPr>
          <w:i/>
          <w:iCs/>
          <w:sz w:val="16"/>
          <w:szCs w:val="16"/>
          <w:lang w:val="es-ES_tradnl"/>
        </w:rPr>
        <w:t>Intencionalidad del infractor.</w:t>
      </w:r>
    </w:p>
    <w:p w:rsidR="00480233" w:rsidRPr="00480233" w:rsidRDefault="00480233" w:rsidP="00D90D65">
      <w:pPr>
        <w:pStyle w:val="Textonotapie"/>
        <w:numPr>
          <w:ilvl w:val="0"/>
          <w:numId w:val="8"/>
        </w:numPr>
        <w:tabs>
          <w:tab w:val="num" w:pos="284"/>
        </w:tabs>
        <w:ind w:left="284" w:firstLine="0"/>
        <w:rPr>
          <w:i/>
          <w:iCs/>
          <w:sz w:val="16"/>
          <w:szCs w:val="16"/>
          <w:lang w:val="es-ES_tradnl"/>
        </w:rPr>
      </w:pPr>
      <w:r w:rsidRPr="00480233">
        <w:rPr>
          <w:i/>
          <w:iCs/>
          <w:sz w:val="16"/>
          <w:szCs w:val="16"/>
          <w:lang w:val="es-ES_tradnl"/>
        </w:rPr>
        <w:t>Daño causado.</w:t>
      </w:r>
    </w:p>
    <w:p w:rsidR="00480233" w:rsidRPr="00480233" w:rsidRDefault="00480233" w:rsidP="00D90D65">
      <w:pPr>
        <w:pStyle w:val="Textonotapie"/>
        <w:numPr>
          <w:ilvl w:val="0"/>
          <w:numId w:val="8"/>
        </w:numPr>
        <w:tabs>
          <w:tab w:val="num" w:pos="284"/>
        </w:tabs>
        <w:ind w:left="284" w:firstLine="0"/>
        <w:rPr>
          <w:i/>
          <w:iCs/>
          <w:sz w:val="16"/>
          <w:szCs w:val="16"/>
          <w:lang w:val="es-ES_tradnl"/>
        </w:rPr>
      </w:pPr>
      <w:r w:rsidRPr="00480233">
        <w:rPr>
          <w:i/>
          <w:iCs/>
          <w:sz w:val="16"/>
          <w:szCs w:val="16"/>
          <w:lang w:val="es-ES_tradnl"/>
        </w:rPr>
        <w:t>Reiterancia.</w:t>
      </w:r>
    </w:p>
    <w:p w:rsidR="00480233" w:rsidRPr="00480233" w:rsidRDefault="00480233" w:rsidP="00D90D65">
      <w:pPr>
        <w:pStyle w:val="Textonotapie"/>
        <w:numPr>
          <w:ilvl w:val="0"/>
          <w:numId w:val="8"/>
        </w:numPr>
        <w:tabs>
          <w:tab w:val="num" w:pos="284"/>
        </w:tabs>
        <w:ind w:left="284" w:firstLine="0"/>
        <w:rPr>
          <w:i/>
          <w:iCs/>
          <w:sz w:val="16"/>
          <w:szCs w:val="16"/>
          <w:lang w:val="es-ES_tradnl"/>
        </w:rPr>
      </w:pPr>
      <w:r w:rsidRPr="00480233">
        <w:rPr>
          <w:i/>
          <w:iCs/>
          <w:sz w:val="16"/>
          <w:szCs w:val="16"/>
          <w:lang w:val="es-ES_tradnl"/>
        </w:rPr>
        <w:t>El reconocimiento de la infracción cometida antes de que sea detectada.</w:t>
      </w:r>
    </w:p>
    <w:p w:rsidR="00480233" w:rsidRPr="00480233" w:rsidRDefault="00480233" w:rsidP="00D90D65">
      <w:pPr>
        <w:pStyle w:val="Textonotapie"/>
        <w:numPr>
          <w:ilvl w:val="0"/>
          <w:numId w:val="8"/>
        </w:numPr>
        <w:tabs>
          <w:tab w:val="num" w:pos="284"/>
        </w:tabs>
        <w:ind w:left="284" w:firstLine="0"/>
        <w:rPr>
          <w:i/>
          <w:iCs/>
          <w:sz w:val="16"/>
          <w:szCs w:val="16"/>
          <w:lang w:val="es-ES_tradnl"/>
        </w:rPr>
      </w:pPr>
      <w:r w:rsidRPr="00480233">
        <w:rPr>
          <w:i/>
          <w:iCs/>
          <w:sz w:val="16"/>
          <w:szCs w:val="16"/>
          <w:lang w:val="es-ES_tradnl"/>
        </w:rPr>
        <w:t>Circunstancias de tiempo, lugar y modo.</w:t>
      </w:r>
    </w:p>
    <w:p w:rsidR="00480233" w:rsidRPr="00480233" w:rsidRDefault="00480233" w:rsidP="00D90D65">
      <w:pPr>
        <w:pStyle w:val="Textonotapie"/>
        <w:numPr>
          <w:ilvl w:val="0"/>
          <w:numId w:val="8"/>
        </w:numPr>
        <w:tabs>
          <w:tab w:val="num" w:pos="284"/>
        </w:tabs>
        <w:ind w:left="284" w:firstLine="0"/>
        <w:rPr>
          <w:i/>
          <w:iCs/>
          <w:sz w:val="16"/>
          <w:szCs w:val="16"/>
          <w:lang w:val="es-ES_tradnl"/>
        </w:rPr>
      </w:pPr>
      <w:r w:rsidRPr="00480233">
        <w:rPr>
          <w:i/>
          <w:iCs/>
          <w:sz w:val="16"/>
          <w:szCs w:val="16"/>
          <w:lang w:val="es-ES_tradnl"/>
        </w:rPr>
        <w:t>Condiciones del infractor.</w:t>
      </w:r>
    </w:p>
    <w:p w:rsidR="00480233" w:rsidRPr="00480233" w:rsidRDefault="00480233" w:rsidP="00D90D65">
      <w:pPr>
        <w:pStyle w:val="Textonotapie"/>
        <w:numPr>
          <w:ilvl w:val="0"/>
          <w:numId w:val="8"/>
        </w:numPr>
        <w:tabs>
          <w:tab w:val="num" w:pos="284"/>
        </w:tabs>
        <w:ind w:left="284" w:firstLine="0"/>
        <w:rPr>
          <w:i/>
          <w:iCs/>
          <w:sz w:val="16"/>
          <w:szCs w:val="16"/>
          <w:lang w:val="es-ES_tradnl"/>
        </w:rPr>
      </w:pPr>
      <w:r w:rsidRPr="00480233">
        <w:rPr>
          <w:i/>
          <w:iCs/>
          <w:sz w:val="16"/>
          <w:szCs w:val="16"/>
          <w:lang w:val="es-ES_tradnl"/>
        </w:rPr>
        <w:t>Conducta procesal del infractor.</w:t>
      </w:r>
    </w:p>
    <w:p w:rsidR="00480233" w:rsidRDefault="00480233" w:rsidP="00480233">
      <w:pPr>
        <w:pStyle w:val="Textonotapie"/>
        <w:ind w:left="284"/>
      </w:pPr>
    </w:p>
  </w:footnote>
  <w:footnote w:id="6">
    <w:p w:rsidR="00480233" w:rsidRPr="00B13891" w:rsidRDefault="00480233" w:rsidP="00D90D65">
      <w:pPr>
        <w:pStyle w:val="Textonotapie"/>
        <w:rPr>
          <w:b/>
          <w:bCs/>
          <w:i/>
          <w:iCs/>
          <w:sz w:val="16"/>
          <w:szCs w:val="16"/>
        </w:rPr>
      </w:pPr>
      <w:r w:rsidRPr="00B13891">
        <w:rPr>
          <w:rStyle w:val="Refdenotaalpie"/>
          <w:i/>
          <w:iCs/>
          <w:sz w:val="16"/>
          <w:szCs w:val="16"/>
        </w:rPr>
        <w:footnoteRef/>
      </w:r>
      <w:r w:rsidRPr="00B13891">
        <w:rPr>
          <w:i/>
          <w:iCs/>
          <w:sz w:val="16"/>
          <w:szCs w:val="16"/>
        </w:rPr>
        <w:t xml:space="preserve"> </w:t>
      </w:r>
      <w:r w:rsidRPr="00B13891">
        <w:rPr>
          <w:b/>
          <w:bCs/>
          <w:i/>
          <w:iCs/>
          <w:sz w:val="16"/>
          <w:szCs w:val="16"/>
        </w:rPr>
        <w:t>Artículo 427.- Falsificación de documentos</w:t>
      </w:r>
    </w:p>
    <w:p w:rsidR="00480233" w:rsidRPr="00B13891" w:rsidRDefault="00480233" w:rsidP="00D90D65">
      <w:pPr>
        <w:pStyle w:val="Textonotapie"/>
        <w:rPr>
          <w:sz w:val="16"/>
          <w:szCs w:val="16"/>
        </w:rPr>
      </w:pPr>
      <w:r w:rsidRPr="00B13891">
        <w:rPr>
          <w:i/>
          <w:iCs/>
          <w:sz w:val="16"/>
          <w:szCs w:val="16"/>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7">
    <w:p w:rsidR="00480233" w:rsidRPr="00B13891" w:rsidRDefault="00480233" w:rsidP="00D90D65">
      <w:pPr>
        <w:pStyle w:val="Textonotapie"/>
        <w:rPr>
          <w:i/>
          <w:iCs/>
          <w:sz w:val="16"/>
          <w:szCs w:val="16"/>
        </w:rPr>
      </w:pPr>
      <w:r w:rsidRPr="00B13891">
        <w:rPr>
          <w:rStyle w:val="Refdenotaalpie"/>
          <w:i/>
          <w:iCs/>
          <w:sz w:val="16"/>
          <w:szCs w:val="16"/>
        </w:rPr>
        <w:footnoteRef/>
      </w:r>
      <w:r w:rsidRPr="00B13891">
        <w:rPr>
          <w:i/>
          <w:iCs/>
          <w:sz w:val="16"/>
          <w:szCs w:val="16"/>
        </w:rPr>
        <w:t xml:space="preserve"> </w:t>
      </w:r>
      <w:r w:rsidRPr="00B13891">
        <w:rPr>
          <w:b/>
          <w:bCs/>
          <w:i/>
          <w:iCs/>
          <w:sz w:val="16"/>
          <w:szCs w:val="16"/>
        </w:rPr>
        <w:t>Artículo 438.- Falsedad genérica</w:t>
      </w:r>
      <w:r w:rsidRPr="00B13891">
        <w:rPr>
          <w:i/>
          <w:iCs/>
          <w:sz w:val="16"/>
          <w:szCs w:val="16"/>
        </w:rPr>
        <w:t xml:space="preserve"> </w:t>
      </w:r>
    </w:p>
    <w:p w:rsidR="00480233" w:rsidRPr="00B13891" w:rsidRDefault="00480233" w:rsidP="00D90D65">
      <w:pPr>
        <w:pStyle w:val="Textonotapie"/>
        <w:rPr>
          <w:sz w:val="16"/>
          <w:szCs w:val="16"/>
        </w:rPr>
      </w:pPr>
      <w:r w:rsidRPr="00B13891">
        <w:rPr>
          <w:i/>
          <w:iCs/>
          <w:sz w:val="16"/>
          <w:szCs w:val="16"/>
        </w:rPr>
        <w:tab/>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FB2" w:rsidRDefault="00644FB2" w:rsidP="00644FB2">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644FB2" w:rsidRDefault="00644FB2" w:rsidP="00644FB2">
    <w:pPr>
      <w:pStyle w:val="Encabezado"/>
      <w:rPr>
        <w:noProof/>
      </w:rPr>
    </w:pPr>
  </w:p>
  <w:p w:rsidR="00644FB2" w:rsidRDefault="00644FB2" w:rsidP="00644FB2">
    <w:pPr>
      <w:pStyle w:val="Encabezado"/>
      <w:rPr>
        <w:noProof/>
      </w:rPr>
    </w:pPr>
  </w:p>
  <w:p w:rsidR="00644FB2" w:rsidRDefault="00644FB2" w:rsidP="00644FB2">
    <w:pPr>
      <w:pStyle w:val="Encabezado"/>
      <w:rPr>
        <w:noProof/>
      </w:rPr>
    </w:pPr>
  </w:p>
  <w:p w:rsidR="00644FB2" w:rsidRDefault="00644FB2" w:rsidP="00644FB2">
    <w:pPr>
      <w:pStyle w:val="Encabezado"/>
      <w:jc w:val="center"/>
    </w:pPr>
    <w:r>
      <w:rPr>
        <w:rFonts w:ascii="Monotype Corsiva" w:hAnsi="Monotype Corsiva"/>
        <w:b/>
        <w:sz w:val="44"/>
        <w:szCs w:val="44"/>
      </w:rPr>
      <w:t xml:space="preserve">Resolución Nº   </w:t>
    </w:r>
    <w:r>
      <w:rPr>
        <w:rFonts w:ascii="Tahoma" w:hAnsi="Tahoma" w:cs="Tahoma"/>
        <w:b/>
        <w:sz w:val="44"/>
        <w:szCs w:val="44"/>
      </w:rPr>
      <w:t>482-2011-TC-S1</w:t>
    </w:r>
  </w:p>
  <w:p w:rsidR="00644FB2" w:rsidRDefault="00644FB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14D90064"/>
    <w:multiLevelType w:val="hybridMultilevel"/>
    <w:tmpl w:val="61A09F74"/>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
    <w:nsid w:val="18A35F67"/>
    <w:multiLevelType w:val="hybridMultilevel"/>
    <w:tmpl w:val="D220BFC4"/>
    <w:lvl w:ilvl="0" w:tplc="7DE8CEB2">
      <w:start w:val="1"/>
      <w:numFmt w:val="decimal"/>
      <w:lvlText w:val="%1."/>
      <w:lvlJc w:val="left"/>
      <w:pPr>
        <w:ind w:left="720" w:hanging="360"/>
      </w:pPr>
      <w:rPr>
        <w:b/>
        <w:bC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37D536B2"/>
    <w:multiLevelType w:val="hybridMultilevel"/>
    <w:tmpl w:val="2166A308"/>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45A81166"/>
    <w:multiLevelType w:val="hybridMultilevel"/>
    <w:tmpl w:val="A5E26802"/>
    <w:lvl w:ilvl="0" w:tplc="8C9A86E0">
      <w:start w:val="1"/>
      <w:numFmt w:val="lowerRoman"/>
      <w:lvlText w:val="%1)"/>
      <w:lvlJc w:val="left"/>
      <w:pPr>
        <w:tabs>
          <w:tab w:val="num" w:pos="1571"/>
        </w:tabs>
        <w:ind w:left="1571" w:hanging="720"/>
      </w:pPr>
      <w:rPr>
        <w:rFonts w:hint="default"/>
      </w:rPr>
    </w:lvl>
    <w:lvl w:ilvl="1" w:tplc="0C0A0019">
      <w:start w:val="1"/>
      <w:numFmt w:val="lowerLetter"/>
      <w:lvlText w:val="%2."/>
      <w:lvlJc w:val="left"/>
      <w:pPr>
        <w:tabs>
          <w:tab w:val="num" w:pos="1931"/>
        </w:tabs>
        <w:ind w:left="1931" w:hanging="360"/>
      </w:pPr>
    </w:lvl>
    <w:lvl w:ilvl="2" w:tplc="0C0A001B">
      <w:start w:val="1"/>
      <w:numFmt w:val="lowerRoman"/>
      <w:lvlText w:val="%3."/>
      <w:lvlJc w:val="right"/>
      <w:pPr>
        <w:tabs>
          <w:tab w:val="num" w:pos="2651"/>
        </w:tabs>
        <w:ind w:left="2651" w:hanging="180"/>
      </w:pPr>
    </w:lvl>
    <w:lvl w:ilvl="3" w:tplc="0C0A000F">
      <w:start w:val="1"/>
      <w:numFmt w:val="decimal"/>
      <w:lvlText w:val="%4."/>
      <w:lvlJc w:val="left"/>
      <w:pPr>
        <w:tabs>
          <w:tab w:val="num" w:pos="3371"/>
        </w:tabs>
        <w:ind w:left="3371" w:hanging="360"/>
      </w:pPr>
    </w:lvl>
    <w:lvl w:ilvl="4" w:tplc="0C0A0019">
      <w:start w:val="1"/>
      <w:numFmt w:val="lowerLetter"/>
      <w:lvlText w:val="%5."/>
      <w:lvlJc w:val="left"/>
      <w:pPr>
        <w:tabs>
          <w:tab w:val="num" w:pos="4091"/>
        </w:tabs>
        <w:ind w:left="4091" w:hanging="360"/>
      </w:pPr>
    </w:lvl>
    <w:lvl w:ilvl="5" w:tplc="0C0A001B">
      <w:start w:val="1"/>
      <w:numFmt w:val="lowerRoman"/>
      <w:lvlText w:val="%6."/>
      <w:lvlJc w:val="right"/>
      <w:pPr>
        <w:tabs>
          <w:tab w:val="num" w:pos="4811"/>
        </w:tabs>
        <w:ind w:left="4811" w:hanging="180"/>
      </w:pPr>
    </w:lvl>
    <w:lvl w:ilvl="6" w:tplc="0C0A000F">
      <w:start w:val="1"/>
      <w:numFmt w:val="decimal"/>
      <w:lvlText w:val="%7."/>
      <w:lvlJc w:val="left"/>
      <w:pPr>
        <w:tabs>
          <w:tab w:val="num" w:pos="5531"/>
        </w:tabs>
        <w:ind w:left="5531" w:hanging="360"/>
      </w:pPr>
    </w:lvl>
    <w:lvl w:ilvl="7" w:tplc="0C0A0019">
      <w:start w:val="1"/>
      <w:numFmt w:val="lowerLetter"/>
      <w:lvlText w:val="%8."/>
      <w:lvlJc w:val="left"/>
      <w:pPr>
        <w:tabs>
          <w:tab w:val="num" w:pos="6251"/>
        </w:tabs>
        <w:ind w:left="6251" w:hanging="360"/>
      </w:pPr>
    </w:lvl>
    <w:lvl w:ilvl="8" w:tplc="0C0A001B">
      <w:start w:val="1"/>
      <w:numFmt w:val="lowerRoman"/>
      <w:lvlText w:val="%9."/>
      <w:lvlJc w:val="right"/>
      <w:pPr>
        <w:tabs>
          <w:tab w:val="num" w:pos="6971"/>
        </w:tabs>
        <w:ind w:left="6971" w:hanging="180"/>
      </w:pPr>
    </w:lvl>
  </w:abstractNum>
  <w:abstractNum w:abstractNumId="7">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AAD6CF3"/>
    <w:multiLevelType w:val="hybridMultilevel"/>
    <w:tmpl w:val="768663A0"/>
    <w:lvl w:ilvl="0" w:tplc="592419DC">
      <w:start w:val="1"/>
      <w:numFmt w:val="decimal"/>
      <w:lvlText w:val="%1."/>
      <w:lvlJc w:val="left"/>
      <w:pPr>
        <w:tabs>
          <w:tab w:val="num" w:pos="720"/>
        </w:tabs>
        <w:ind w:left="720" w:hanging="360"/>
      </w:pPr>
      <w:rPr>
        <w:rFonts w:ascii="Tahoma" w:hAnsi="Tahoma" w:cs="Tahoma" w:hint="default"/>
        <w:b/>
        <w:bCs/>
        <w:i w:val="0"/>
        <w:iCs w:val="0"/>
        <w:color w:val="auto"/>
        <w:sz w:val="20"/>
        <w:szCs w:val="20"/>
        <w:u w:val="none"/>
      </w:rPr>
    </w:lvl>
    <w:lvl w:ilvl="1" w:tplc="280A0019">
      <w:start w:val="1"/>
      <w:numFmt w:val="lowerLetter"/>
      <w:lvlText w:val="%2."/>
      <w:lvlJc w:val="left"/>
      <w:pPr>
        <w:tabs>
          <w:tab w:val="num" w:pos="1440"/>
        </w:tabs>
        <w:ind w:left="1440" w:hanging="360"/>
      </w:pPr>
    </w:lvl>
    <w:lvl w:ilvl="2" w:tplc="280A001B">
      <w:start w:val="1"/>
      <w:numFmt w:val="lowerRoman"/>
      <w:lvlText w:val="%3."/>
      <w:lvlJc w:val="right"/>
      <w:pPr>
        <w:tabs>
          <w:tab w:val="num" w:pos="2160"/>
        </w:tabs>
        <w:ind w:left="2160" w:hanging="180"/>
      </w:pPr>
    </w:lvl>
    <w:lvl w:ilvl="3" w:tplc="280A000F">
      <w:start w:val="1"/>
      <w:numFmt w:val="decimal"/>
      <w:lvlText w:val="%4."/>
      <w:lvlJc w:val="left"/>
      <w:pPr>
        <w:tabs>
          <w:tab w:val="num" w:pos="2880"/>
        </w:tabs>
        <w:ind w:left="2880" w:hanging="360"/>
      </w:pPr>
    </w:lvl>
    <w:lvl w:ilvl="4" w:tplc="280A0019">
      <w:start w:val="1"/>
      <w:numFmt w:val="lowerLetter"/>
      <w:lvlText w:val="%5."/>
      <w:lvlJc w:val="left"/>
      <w:pPr>
        <w:tabs>
          <w:tab w:val="num" w:pos="3600"/>
        </w:tabs>
        <w:ind w:left="3600" w:hanging="360"/>
      </w:pPr>
    </w:lvl>
    <w:lvl w:ilvl="5" w:tplc="280A001B">
      <w:start w:val="1"/>
      <w:numFmt w:val="lowerRoman"/>
      <w:lvlText w:val="%6."/>
      <w:lvlJc w:val="right"/>
      <w:pPr>
        <w:tabs>
          <w:tab w:val="num" w:pos="4320"/>
        </w:tabs>
        <w:ind w:left="4320" w:hanging="180"/>
      </w:pPr>
    </w:lvl>
    <w:lvl w:ilvl="6" w:tplc="280A000F">
      <w:start w:val="1"/>
      <w:numFmt w:val="decimal"/>
      <w:lvlText w:val="%7."/>
      <w:lvlJc w:val="left"/>
      <w:pPr>
        <w:tabs>
          <w:tab w:val="num" w:pos="5040"/>
        </w:tabs>
        <w:ind w:left="5040" w:hanging="360"/>
      </w:pPr>
    </w:lvl>
    <w:lvl w:ilvl="7" w:tplc="280A0019">
      <w:start w:val="1"/>
      <w:numFmt w:val="lowerLetter"/>
      <w:lvlText w:val="%8."/>
      <w:lvlJc w:val="left"/>
      <w:pPr>
        <w:tabs>
          <w:tab w:val="num" w:pos="5760"/>
        </w:tabs>
        <w:ind w:left="5760" w:hanging="360"/>
      </w:pPr>
    </w:lvl>
    <w:lvl w:ilvl="8" w:tplc="280A001B">
      <w:start w:val="1"/>
      <w:numFmt w:val="lowerRoman"/>
      <w:lvlText w:val="%9."/>
      <w:lvlJc w:val="right"/>
      <w:pPr>
        <w:tabs>
          <w:tab w:val="num" w:pos="6480"/>
        </w:tabs>
        <w:ind w:left="6480" w:hanging="180"/>
      </w:pPr>
    </w:lvl>
  </w:abstractNum>
  <w:abstractNum w:abstractNumId="9">
    <w:nsid w:val="7DF43C5A"/>
    <w:multiLevelType w:val="hybridMultilevel"/>
    <w:tmpl w:val="6B56628A"/>
    <w:lvl w:ilvl="0" w:tplc="E320ECDC">
      <w:start w:val="1"/>
      <w:numFmt w:val="lowerLetter"/>
      <w:lvlText w:val="%1."/>
      <w:lvlJc w:val="left"/>
      <w:pPr>
        <w:ind w:left="1428" w:hanging="360"/>
      </w:pPr>
      <w:rPr>
        <w:sz w:val="20"/>
        <w:szCs w:val="20"/>
      </w:rPr>
    </w:lvl>
    <w:lvl w:ilvl="1" w:tplc="0C0A0019">
      <w:start w:val="1"/>
      <w:numFmt w:val="lowerLetter"/>
      <w:lvlText w:val="%2."/>
      <w:lvlJc w:val="left"/>
      <w:pPr>
        <w:ind w:left="2148" w:hanging="360"/>
      </w:pPr>
    </w:lvl>
    <w:lvl w:ilvl="2" w:tplc="0C0A001B">
      <w:start w:val="1"/>
      <w:numFmt w:val="lowerRoman"/>
      <w:lvlText w:val="%3."/>
      <w:lvlJc w:val="right"/>
      <w:pPr>
        <w:ind w:left="2868" w:hanging="180"/>
      </w:pPr>
    </w:lvl>
    <w:lvl w:ilvl="3" w:tplc="0C0A000F">
      <w:start w:val="1"/>
      <w:numFmt w:val="decimal"/>
      <w:lvlText w:val="%4."/>
      <w:lvlJc w:val="left"/>
      <w:pPr>
        <w:ind w:left="3588" w:hanging="360"/>
      </w:pPr>
    </w:lvl>
    <w:lvl w:ilvl="4" w:tplc="0C0A0019">
      <w:start w:val="1"/>
      <w:numFmt w:val="lowerLetter"/>
      <w:lvlText w:val="%5."/>
      <w:lvlJc w:val="left"/>
      <w:pPr>
        <w:ind w:left="4308" w:hanging="360"/>
      </w:pPr>
    </w:lvl>
    <w:lvl w:ilvl="5" w:tplc="0C0A001B">
      <w:start w:val="1"/>
      <w:numFmt w:val="lowerRoman"/>
      <w:lvlText w:val="%6."/>
      <w:lvlJc w:val="right"/>
      <w:pPr>
        <w:ind w:left="5028" w:hanging="180"/>
      </w:pPr>
    </w:lvl>
    <w:lvl w:ilvl="6" w:tplc="0C0A000F">
      <w:start w:val="1"/>
      <w:numFmt w:val="decimal"/>
      <w:lvlText w:val="%7."/>
      <w:lvlJc w:val="left"/>
      <w:pPr>
        <w:ind w:left="5748" w:hanging="360"/>
      </w:pPr>
    </w:lvl>
    <w:lvl w:ilvl="7" w:tplc="0C0A0019">
      <w:start w:val="1"/>
      <w:numFmt w:val="lowerLetter"/>
      <w:lvlText w:val="%8."/>
      <w:lvlJc w:val="left"/>
      <w:pPr>
        <w:ind w:left="6468" w:hanging="360"/>
      </w:pPr>
    </w:lvl>
    <w:lvl w:ilvl="8" w:tplc="0C0A001B">
      <w:start w:val="1"/>
      <w:numFmt w:val="lowerRoman"/>
      <w:lvlText w:val="%9."/>
      <w:lvlJc w:val="right"/>
      <w:pPr>
        <w:ind w:left="7188"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D90D65"/>
    <w:rsid w:val="000323FB"/>
    <w:rsid w:val="00115265"/>
    <w:rsid w:val="001731AE"/>
    <w:rsid w:val="00180D95"/>
    <w:rsid w:val="002162C1"/>
    <w:rsid w:val="00265BF1"/>
    <w:rsid w:val="003071F6"/>
    <w:rsid w:val="0032609D"/>
    <w:rsid w:val="003A20B7"/>
    <w:rsid w:val="00480233"/>
    <w:rsid w:val="004C09CD"/>
    <w:rsid w:val="00531255"/>
    <w:rsid w:val="005A4735"/>
    <w:rsid w:val="00644FB2"/>
    <w:rsid w:val="0066645E"/>
    <w:rsid w:val="006C03E0"/>
    <w:rsid w:val="006F3D35"/>
    <w:rsid w:val="00744DF3"/>
    <w:rsid w:val="00823341"/>
    <w:rsid w:val="00921774"/>
    <w:rsid w:val="00937811"/>
    <w:rsid w:val="0096071E"/>
    <w:rsid w:val="009E3A2F"/>
    <w:rsid w:val="00A939F5"/>
    <w:rsid w:val="00B13891"/>
    <w:rsid w:val="00D90D65"/>
    <w:rsid w:val="00F0294E"/>
    <w:rsid w:val="00F81C7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D65"/>
    <w:rPr>
      <w:rFonts w:ascii="Calibri" w:eastAsia="Calibri" w:hAnsi="Calibri" w:cs="Times New Roman"/>
    </w:rPr>
  </w:style>
  <w:style w:type="paragraph" w:styleId="Ttulo2">
    <w:name w:val="heading 2"/>
    <w:basedOn w:val="Normal"/>
    <w:next w:val="Normal"/>
    <w:link w:val="Ttulo2Car"/>
    <w:qFormat/>
    <w:rsid w:val="00D90D65"/>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D90D65"/>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D90D65"/>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D90D65"/>
    <w:rPr>
      <w:rFonts w:ascii="Arial" w:eastAsia="Calibri" w:hAnsi="Arial" w:cs="Arial"/>
      <w:b/>
      <w:bCs/>
      <w:sz w:val="26"/>
      <w:szCs w:val="26"/>
    </w:rPr>
  </w:style>
  <w:style w:type="paragraph" w:styleId="Textoindependiente3">
    <w:name w:val="Body Text 3"/>
    <w:basedOn w:val="Normal"/>
    <w:link w:val="Textoindependiente3Car"/>
    <w:semiHidden/>
    <w:unhideWhenUsed/>
    <w:rsid w:val="00D90D65"/>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D90D65"/>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D90D65"/>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D90D65"/>
    <w:pPr>
      <w:tabs>
        <w:tab w:val="center" w:pos="4252"/>
        <w:tab w:val="right" w:pos="8504"/>
      </w:tabs>
    </w:pPr>
  </w:style>
  <w:style w:type="character" w:customStyle="1" w:styleId="PiedepginaCar">
    <w:name w:val="Pie de página Car"/>
    <w:basedOn w:val="Fuentedeprrafopredeter"/>
    <w:link w:val="Piedepgina"/>
    <w:uiPriority w:val="99"/>
    <w:rsid w:val="00D90D65"/>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uiPriority w:val="99"/>
    <w:rsid w:val="00D90D65"/>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D90D65"/>
    <w:rPr>
      <w:rFonts w:ascii="Tahoma" w:eastAsia="Calibri" w:hAnsi="Tahoma" w:cs="Tahoma"/>
      <w:sz w:val="20"/>
      <w:szCs w:val="20"/>
    </w:rPr>
  </w:style>
  <w:style w:type="character" w:styleId="Refdenotaalpie">
    <w:name w:val="footnote reference"/>
    <w:basedOn w:val="Fuentedeprrafopredeter"/>
    <w:uiPriority w:val="99"/>
    <w:semiHidden/>
    <w:rsid w:val="00D90D65"/>
    <w:rPr>
      <w:vertAlign w:val="superscript"/>
    </w:rPr>
  </w:style>
  <w:style w:type="paragraph" w:styleId="Textoindependiente">
    <w:name w:val="Body Text"/>
    <w:basedOn w:val="Normal"/>
    <w:link w:val="TextoindependienteCar"/>
    <w:uiPriority w:val="99"/>
    <w:semiHidden/>
    <w:unhideWhenUsed/>
    <w:rsid w:val="00D90D65"/>
    <w:pPr>
      <w:spacing w:after="120"/>
    </w:pPr>
  </w:style>
  <w:style w:type="character" w:customStyle="1" w:styleId="TextoindependienteCar">
    <w:name w:val="Texto independiente Car"/>
    <w:basedOn w:val="Fuentedeprrafopredeter"/>
    <w:link w:val="Textoindependiente"/>
    <w:uiPriority w:val="99"/>
    <w:semiHidden/>
    <w:rsid w:val="00D90D65"/>
    <w:rPr>
      <w:rFonts w:ascii="Calibri" w:eastAsia="Calibri" w:hAnsi="Calibri" w:cs="Times New Roman"/>
    </w:rPr>
  </w:style>
  <w:style w:type="paragraph" w:styleId="NormalWeb">
    <w:name w:val="Normal (Web)"/>
    <w:basedOn w:val="Normal"/>
    <w:uiPriority w:val="99"/>
    <w:rsid w:val="00D90D65"/>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D90D65"/>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644FB2"/>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644FB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7561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8</Pages>
  <Words>3189</Words>
  <Characters>17541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15</cp:revision>
  <cp:lastPrinted>2011-03-24T15:05:00Z</cp:lastPrinted>
  <dcterms:created xsi:type="dcterms:W3CDTF">2011-03-18T13:51:00Z</dcterms:created>
  <dcterms:modified xsi:type="dcterms:W3CDTF">2011-04-08T14:52:00Z</dcterms:modified>
</cp:coreProperties>
</file>